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142" w14:textId="27473BFE" w:rsidR="004B5AFE" w:rsidRDefault="004B5AFE" w:rsidP="00E273D4">
      <w:pPr>
        <w:pStyle w:val="berschrift1"/>
        <w:rPr>
          <w:noProof/>
          <w:lang w:eastAsia="de-DE"/>
        </w:rPr>
      </w:pPr>
      <w:bookmarkStart w:id="0" w:name="_GoBack"/>
      <w:bookmarkEnd w:id="0"/>
      <w:r>
        <w:rPr>
          <w:szCs w:val="28"/>
        </w:rPr>
        <w:t>SICK setzt Wachstum in 2018 fort</w:t>
      </w:r>
      <w:r w:rsidRPr="00DE3775">
        <w:rPr>
          <w:noProof/>
          <w:lang w:eastAsia="de-DE"/>
        </w:rPr>
        <w:t xml:space="preserve"> </w:t>
      </w:r>
    </w:p>
    <w:p w14:paraId="142FBE6B" w14:textId="77777777" w:rsidR="00DD4751" w:rsidRPr="004B5AFE" w:rsidRDefault="007C0200" w:rsidP="00E273D4">
      <w:pPr>
        <w:pStyle w:val="berschrift1"/>
        <w:rPr>
          <w:b w:val="0"/>
        </w:rPr>
      </w:pPr>
      <w:r>
        <w:rPr>
          <w:b w:val="0"/>
        </w:rPr>
        <w:t>Investitionen in Start-u</w:t>
      </w:r>
      <w:r w:rsidR="001801E0">
        <w:rPr>
          <w:b w:val="0"/>
        </w:rPr>
        <w:t>p-Initiativen</w:t>
      </w:r>
      <w:r w:rsidR="00A744A6" w:rsidRPr="004B5AFE">
        <w:rPr>
          <w:b w:val="0"/>
        </w:rPr>
        <w:t xml:space="preserve"> </w:t>
      </w:r>
      <w:r w:rsidR="004B5AFE" w:rsidRPr="004B5AFE">
        <w:rPr>
          <w:b w:val="0"/>
        </w:rPr>
        <w:t>zahlen sich aus</w:t>
      </w:r>
      <w:r w:rsidR="00A744A6" w:rsidRPr="004B5AFE">
        <w:rPr>
          <w:b w:val="0"/>
        </w:rPr>
        <w:t xml:space="preserve"> </w:t>
      </w:r>
    </w:p>
    <w:p w14:paraId="06A8C666" w14:textId="77777777" w:rsidR="0034097C" w:rsidRPr="00227F24" w:rsidRDefault="004B5AFE" w:rsidP="00227F24">
      <w:pPr>
        <w:rPr>
          <w:color w:val="0070C0"/>
        </w:rPr>
      </w:pPr>
      <w:r>
        <w:rPr>
          <w:sz w:val="28"/>
          <w:szCs w:val="28"/>
        </w:rPr>
        <w:br/>
      </w:r>
    </w:p>
    <w:p w14:paraId="13CFDB06" w14:textId="77777777" w:rsidR="00D73797" w:rsidRDefault="00D73797" w:rsidP="00D73797"/>
    <w:p w14:paraId="28122FDA" w14:textId="32C6A53F" w:rsidR="00477E5B" w:rsidRDefault="003B68BC" w:rsidP="00477E5B">
      <w:pPr>
        <w:pStyle w:val="Lead"/>
      </w:pPr>
      <w:r w:rsidRPr="00477E5B">
        <w:t>Waldkirch</w:t>
      </w:r>
      <w:r w:rsidR="00DE3775" w:rsidRPr="00477E5B">
        <w:t>, 30. April 2019</w:t>
      </w:r>
      <w:r w:rsidRPr="00477E5B">
        <w:t xml:space="preserve"> – </w:t>
      </w:r>
      <w:r w:rsidR="00984F53" w:rsidRPr="00477E5B">
        <w:t>Im Geschäftsjahr 2018 hat sich SICK</w:t>
      </w:r>
      <w:r w:rsidR="006A5B48" w:rsidRPr="00477E5B">
        <w:t xml:space="preserve"> </w:t>
      </w:r>
      <w:r w:rsidR="00984F53" w:rsidRPr="00477E5B">
        <w:t>weiter positiv entwickelt und ein</w:t>
      </w:r>
      <w:r w:rsidR="00984F53" w:rsidRPr="00984F53">
        <w:t xml:space="preserve"> überdurchschnittliches Umsatzwachstum, gemessen an der Wachstumsrate der deutschen Maschinenbauindustrie, erzielt. </w:t>
      </w:r>
      <w:r w:rsidR="00D21646" w:rsidRPr="00DE3775">
        <w:t xml:space="preserve">Der Auftragseingang </w:t>
      </w:r>
      <w:r w:rsidR="00984F53" w:rsidRPr="00DE3775">
        <w:t xml:space="preserve">übertraf den Wert </w:t>
      </w:r>
      <w:r w:rsidR="004B5AFE">
        <w:t>des</w:t>
      </w:r>
      <w:r w:rsidR="00984F53" w:rsidRPr="00DE3775">
        <w:t xml:space="preserve"> Vorjahr</w:t>
      </w:r>
      <w:r w:rsidR="004B5AFE">
        <w:t>es</w:t>
      </w:r>
      <w:r w:rsidR="00984F53" w:rsidRPr="00DE3775">
        <w:t xml:space="preserve"> um 10,3 Prozent. </w:t>
      </w:r>
      <w:r w:rsidR="004B5AFE">
        <w:t>Auch beim Konzernumsatz setz</w:t>
      </w:r>
      <w:r w:rsidR="00595407">
        <w:t>t</w:t>
      </w:r>
      <w:r w:rsidR="004B5AFE">
        <w:t>e sich der</w:t>
      </w:r>
      <w:r w:rsidR="00984F53" w:rsidRPr="00DE3775">
        <w:t xml:space="preserve"> Wachstumskurs </w:t>
      </w:r>
      <w:r w:rsidR="004B5AFE">
        <w:t xml:space="preserve">fort: Mit </w:t>
      </w:r>
      <w:r w:rsidR="000A2478">
        <w:t>1.636,8</w:t>
      </w:r>
      <w:r w:rsidR="00A114AB">
        <w:t xml:space="preserve"> Millionen Eu</w:t>
      </w:r>
      <w:r w:rsidR="00A744A6">
        <w:t xml:space="preserve">ro </w:t>
      </w:r>
      <w:r w:rsidR="004B5AFE">
        <w:t>wurde der Wert des Vorjahres (</w:t>
      </w:r>
      <w:r w:rsidR="000A2478">
        <w:t>1.511,6</w:t>
      </w:r>
      <w:r w:rsidR="004B5AFE">
        <w:t xml:space="preserve"> Millionen Euro) um </w:t>
      </w:r>
      <w:r w:rsidR="00984F53" w:rsidRPr="00DE3775">
        <w:t>8,3 Prozent</w:t>
      </w:r>
      <w:r w:rsidR="004B5AFE">
        <w:t xml:space="preserve"> übertroffen. </w:t>
      </w:r>
      <w:r w:rsidR="00477E5B">
        <w:t>Die Anzahl der Beschäftigten</w:t>
      </w:r>
      <w:r w:rsidR="00871D7F">
        <w:t xml:space="preserve"> im SICK-Konzern weltweit wuchs </w:t>
      </w:r>
      <w:r w:rsidR="00477E5B">
        <w:t xml:space="preserve">um 10,5 Prozent. </w:t>
      </w:r>
    </w:p>
    <w:p w14:paraId="5CC27A49" w14:textId="2C0A640F" w:rsidR="00477E5B" w:rsidRDefault="00D36469" w:rsidP="00477E5B">
      <w:pPr>
        <w:spacing w:line="276" w:lineRule="auto"/>
        <w:rPr>
          <w:rFonts w:cs="Arial"/>
          <w:szCs w:val="24"/>
        </w:rPr>
      </w:pPr>
      <w:r>
        <w:rPr>
          <w:rFonts w:cs="Arial"/>
          <w:bCs/>
          <w:szCs w:val="20"/>
        </w:rPr>
        <w:t xml:space="preserve">Das EBIT </w:t>
      </w:r>
      <w:r w:rsidR="00AD08FC">
        <w:rPr>
          <w:rFonts w:cs="Arial"/>
          <w:bCs/>
          <w:szCs w:val="20"/>
        </w:rPr>
        <w:t xml:space="preserve">blieb </w:t>
      </w:r>
      <w:r>
        <w:rPr>
          <w:rFonts w:cs="Arial"/>
          <w:bCs/>
          <w:szCs w:val="20"/>
        </w:rPr>
        <w:t xml:space="preserve">mit 7,2 </w:t>
      </w:r>
      <w:r w:rsidR="009E501C">
        <w:rPr>
          <w:rFonts w:cs="Arial"/>
          <w:bCs/>
          <w:szCs w:val="20"/>
        </w:rPr>
        <w:t>Prozent</w:t>
      </w:r>
      <w:r>
        <w:rPr>
          <w:rFonts w:cs="Arial"/>
          <w:bCs/>
          <w:szCs w:val="20"/>
        </w:rPr>
        <w:t xml:space="preserve"> </w:t>
      </w:r>
      <w:r w:rsidRPr="00477E5B">
        <w:rPr>
          <w:rFonts w:cs="Arial"/>
          <w:bCs/>
          <w:szCs w:val="20"/>
        </w:rPr>
        <w:t>(2017: 9,8 Prozent)</w:t>
      </w:r>
      <w:r>
        <w:rPr>
          <w:rFonts w:cs="Arial"/>
          <w:bCs/>
          <w:szCs w:val="20"/>
        </w:rPr>
        <w:t xml:space="preserve"> </w:t>
      </w:r>
      <w:r w:rsidR="00C02F2F">
        <w:rPr>
          <w:rFonts w:cs="Arial"/>
          <w:bCs/>
          <w:szCs w:val="20"/>
        </w:rPr>
        <w:t>unter Berücksichtigung</w:t>
      </w:r>
      <w:r>
        <w:rPr>
          <w:rFonts w:cs="Arial"/>
          <w:bCs/>
          <w:szCs w:val="20"/>
        </w:rPr>
        <w:t xml:space="preserve"> </w:t>
      </w:r>
      <w:r w:rsidR="00C02F2F">
        <w:rPr>
          <w:rFonts w:cs="Arial"/>
          <w:bCs/>
          <w:szCs w:val="20"/>
        </w:rPr>
        <w:t xml:space="preserve">der </w:t>
      </w:r>
      <w:r>
        <w:rPr>
          <w:rFonts w:cs="Arial"/>
          <w:bCs/>
          <w:szCs w:val="20"/>
        </w:rPr>
        <w:t xml:space="preserve">geplanten massiven Erhöhung der Innovationsausgaben auf nun 11,8 Prozent </w:t>
      </w:r>
      <w:r w:rsidR="000A2478">
        <w:rPr>
          <w:rFonts w:cs="Arial"/>
          <w:bCs/>
          <w:szCs w:val="20"/>
        </w:rPr>
        <w:t xml:space="preserve">des Umsatzes </w:t>
      </w:r>
      <w:r>
        <w:rPr>
          <w:rFonts w:cs="Arial"/>
          <w:bCs/>
          <w:szCs w:val="20"/>
        </w:rPr>
        <w:t xml:space="preserve">auf hohem Niveau. </w:t>
      </w:r>
      <w:r w:rsidR="00225E67" w:rsidRPr="00477E5B">
        <w:rPr>
          <w:rFonts w:cs="Arial"/>
          <w:bCs/>
          <w:szCs w:val="20"/>
        </w:rPr>
        <w:t>Da</w:t>
      </w:r>
      <w:r w:rsidR="009E501C">
        <w:rPr>
          <w:rFonts w:cs="Arial"/>
          <w:bCs/>
          <w:szCs w:val="20"/>
        </w:rPr>
        <w:t xml:space="preserve">mit </w:t>
      </w:r>
      <w:r w:rsidR="00225E67" w:rsidRPr="00477E5B">
        <w:rPr>
          <w:rFonts w:cs="Arial"/>
          <w:bCs/>
          <w:szCs w:val="20"/>
        </w:rPr>
        <w:t>wurde die zu Beginn des Jahres prognostizierte Entwicklung erreicht</w:t>
      </w:r>
      <w:r w:rsidR="00535C52" w:rsidRPr="00477E5B">
        <w:rPr>
          <w:rFonts w:cs="Arial"/>
          <w:bCs/>
          <w:szCs w:val="20"/>
        </w:rPr>
        <w:t xml:space="preserve">, allerdings durch Überhitzungserscheinungen auf den Beschaffungsmärkten getrübt, </w:t>
      </w:r>
      <w:r w:rsidR="00A744A6">
        <w:rPr>
          <w:rFonts w:cs="Arial"/>
          <w:bCs/>
          <w:szCs w:val="20"/>
        </w:rPr>
        <w:t>die</w:t>
      </w:r>
      <w:r w:rsidR="00535C52" w:rsidRPr="00477E5B">
        <w:rPr>
          <w:rFonts w:cs="Arial"/>
          <w:bCs/>
          <w:szCs w:val="20"/>
        </w:rPr>
        <w:t xml:space="preserve"> zu erheblichen Mehrkosten auf der Materialkostenseite führte</w:t>
      </w:r>
      <w:r w:rsidR="00A744A6">
        <w:rPr>
          <w:rFonts w:cs="Arial"/>
          <w:bCs/>
          <w:szCs w:val="20"/>
        </w:rPr>
        <w:t>n</w:t>
      </w:r>
      <w:r w:rsidR="00535C52" w:rsidRPr="00477E5B">
        <w:rPr>
          <w:rFonts w:cs="Arial"/>
          <w:bCs/>
          <w:szCs w:val="20"/>
        </w:rPr>
        <w:t xml:space="preserve">. </w:t>
      </w:r>
      <w:r w:rsidR="00A744A6">
        <w:rPr>
          <w:rFonts w:cs="Arial"/>
          <w:bCs/>
          <w:szCs w:val="20"/>
        </w:rPr>
        <w:t>Des Weiteren</w:t>
      </w:r>
      <w:r w:rsidR="00535C52" w:rsidRPr="00477E5B">
        <w:rPr>
          <w:rFonts w:cs="Arial"/>
          <w:bCs/>
          <w:szCs w:val="20"/>
        </w:rPr>
        <w:t xml:space="preserve"> belasteten gegenläufige Währungseinflüsse das Ergebnis. </w:t>
      </w:r>
      <w:r w:rsidR="003B5F40" w:rsidRPr="00477E5B">
        <w:rPr>
          <w:rFonts w:cs="Arial"/>
          <w:bCs/>
          <w:szCs w:val="20"/>
        </w:rPr>
        <w:t>„</w:t>
      </w:r>
      <w:r w:rsidR="009E501C">
        <w:rPr>
          <w:rFonts w:cs="Arial"/>
          <w:bCs/>
          <w:szCs w:val="20"/>
        </w:rPr>
        <w:t>Mit der gezielten Erhöhung des</w:t>
      </w:r>
      <w:r w:rsidR="004B5AFE">
        <w:rPr>
          <w:rFonts w:cs="Arial"/>
          <w:bCs/>
          <w:szCs w:val="20"/>
        </w:rPr>
        <w:t xml:space="preserve"> F&amp;E-Anteil</w:t>
      </w:r>
      <w:r w:rsidR="009E501C">
        <w:rPr>
          <w:rFonts w:cs="Arial"/>
          <w:bCs/>
          <w:szCs w:val="20"/>
        </w:rPr>
        <w:t>s</w:t>
      </w:r>
      <w:r w:rsidR="004B5AFE">
        <w:rPr>
          <w:rFonts w:cs="Arial"/>
          <w:bCs/>
          <w:szCs w:val="20"/>
        </w:rPr>
        <w:t xml:space="preserve"> </w:t>
      </w:r>
      <w:r w:rsidR="009E501C">
        <w:rPr>
          <w:rFonts w:cs="Arial"/>
          <w:bCs/>
          <w:szCs w:val="20"/>
        </w:rPr>
        <w:t xml:space="preserve">steigern wir im Zuge des Technologiewandels hin zu künstlicher Intelligenz unsere </w:t>
      </w:r>
      <w:r w:rsidR="004B5AFE">
        <w:rPr>
          <w:rFonts w:cs="Arial"/>
          <w:bCs/>
          <w:szCs w:val="20"/>
        </w:rPr>
        <w:t xml:space="preserve">Innovationskraft und </w:t>
      </w:r>
      <w:r w:rsidR="009E501C">
        <w:rPr>
          <w:rFonts w:cs="Arial"/>
          <w:bCs/>
          <w:szCs w:val="20"/>
        </w:rPr>
        <w:t>sichern somit die Zukunftsfähigkeit</w:t>
      </w:r>
      <w:r w:rsidR="00535C52" w:rsidRPr="00477E5B">
        <w:rPr>
          <w:rFonts w:cs="Arial"/>
          <w:bCs/>
          <w:szCs w:val="20"/>
        </w:rPr>
        <w:t xml:space="preserve">“, erklärte Dr. Robert Bauer, Vorstandsvorsitzender </w:t>
      </w:r>
      <w:r w:rsidR="009A390A">
        <w:rPr>
          <w:rFonts w:cs="Arial"/>
          <w:bCs/>
          <w:szCs w:val="20"/>
        </w:rPr>
        <w:t xml:space="preserve">der </w:t>
      </w:r>
      <w:r w:rsidR="00535C52" w:rsidRPr="00477E5B">
        <w:rPr>
          <w:rFonts w:cs="Arial"/>
          <w:bCs/>
          <w:szCs w:val="20"/>
        </w:rPr>
        <w:t xml:space="preserve">SICK AG, </w:t>
      </w:r>
      <w:r w:rsidR="00477E5B" w:rsidRPr="00477E5B">
        <w:rPr>
          <w:rFonts w:cs="Arial"/>
          <w:bCs/>
          <w:szCs w:val="20"/>
        </w:rPr>
        <w:t xml:space="preserve">anlässlich der Veröffentlichung der Bilanzkennzahlen. „Die bereits sichtbaren </w:t>
      </w:r>
      <w:r w:rsidR="007C0200">
        <w:rPr>
          <w:rFonts w:cs="Arial"/>
          <w:bCs/>
          <w:szCs w:val="20"/>
        </w:rPr>
        <w:t>Erfolge unserer Start-u</w:t>
      </w:r>
      <w:r w:rsidR="00477E5B" w:rsidRPr="00477E5B">
        <w:rPr>
          <w:rFonts w:cs="Arial"/>
          <w:bCs/>
          <w:szCs w:val="20"/>
        </w:rPr>
        <w:t>p-Initiativen geben uns Recht: So profitiert Sensorintelligenz</w:t>
      </w:r>
      <w:r w:rsidR="00090565">
        <w:rPr>
          <w:rFonts w:cs="Arial"/>
          <w:bCs/>
          <w:szCs w:val="20"/>
        </w:rPr>
        <w:t xml:space="preserve"> </w:t>
      </w:r>
      <w:r w:rsidR="00477E5B" w:rsidRPr="00477E5B">
        <w:rPr>
          <w:rFonts w:cs="Arial"/>
          <w:bCs/>
          <w:szCs w:val="20"/>
        </w:rPr>
        <w:t>von Deep Learning und liefert neue Funktionalitäten für Sensoren</w:t>
      </w:r>
      <w:r w:rsidR="00477E5B">
        <w:rPr>
          <w:rFonts w:cs="Arial"/>
          <w:bCs/>
          <w:szCs w:val="20"/>
        </w:rPr>
        <w:t>.</w:t>
      </w:r>
      <w:r w:rsidR="00477E5B" w:rsidRPr="00477E5B">
        <w:rPr>
          <w:rFonts w:cs="Arial"/>
          <w:bCs/>
          <w:szCs w:val="20"/>
        </w:rPr>
        <w:t xml:space="preserve">“ </w:t>
      </w:r>
      <w:r w:rsidR="00477E5B" w:rsidRPr="00477E5B">
        <w:rPr>
          <w:rFonts w:cs="Arial"/>
          <w:szCs w:val="24"/>
        </w:rPr>
        <w:t>Auf der Hannover Messe 2019 präsentierte SICK seine neue Software-Lös</w:t>
      </w:r>
      <w:r w:rsidR="00A744A6">
        <w:rPr>
          <w:rFonts w:cs="Arial"/>
          <w:szCs w:val="24"/>
        </w:rPr>
        <w:t>ung basierend auf Deep Learning-</w:t>
      </w:r>
      <w:r w:rsidR="00477E5B" w:rsidRPr="00477E5B">
        <w:rPr>
          <w:rFonts w:cs="Arial"/>
          <w:szCs w:val="24"/>
        </w:rPr>
        <w:t>Algorithmen. Anwender von Systemlösungen i</w:t>
      </w:r>
      <w:r w:rsidR="00A744A6">
        <w:rPr>
          <w:rFonts w:cs="Arial"/>
          <w:szCs w:val="24"/>
        </w:rPr>
        <w:t>n der Logistikautomation s</w:t>
      </w:r>
      <w:r w:rsidR="00112FC5">
        <w:rPr>
          <w:rFonts w:cs="Arial"/>
          <w:szCs w:val="24"/>
        </w:rPr>
        <w:t>chöpfen aus dieser</w:t>
      </w:r>
      <w:r w:rsidR="00A744A6">
        <w:rPr>
          <w:rFonts w:cs="Arial"/>
          <w:szCs w:val="24"/>
        </w:rPr>
        <w:t xml:space="preserve"> neue</w:t>
      </w:r>
      <w:r w:rsidR="00112FC5">
        <w:rPr>
          <w:rFonts w:cs="Arial"/>
          <w:szCs w:val="24"/>
        </w:rPr>
        <w:t>n</w:t>
      </w:r>
      <w:r w:rsidR="00A744A6">
        <w:rPr>
          <w:rFonts w:cs="Arial"/>
          <w:szCs w:val="24"/>
        </w:rPr>
        <w:t xml:space="preserve"> Technologie ber</w:t>
      </w:r>
      <w:r w:rsidR="00112FC5">
        <w:rPr>
          <w:rFonts w:cs="Arial"/>
          <w:szCs w:val="24"/>
        </w:rPr>
        <w:t xml:space="preserve">eits einen Mehrwert. </w:t>
      </w:r>
    </w:p>
    <w:p w14:paraId="2BDA3649" w14:textId="77777777" w:rsidR="00CE0FE2" w:rsidRPr="00477E5B" w:rsidRDefault="00CE0FE2" w:rsidP="00477E5B">
      <w:pPr>
        <w:spacing w:line="276" w:lineRule="auto"/>
      </w:pPr>
    </w:p>
    <w:p w14:paraId="6D615A58" w14:textId="77777777" w:rsidR="0032195C" w:rsidRDefault="0032195C" w:rsidP="00C92606">
      <w:pPr>
        <w:spacing w:line="276" w:lineRule="auto"/>
        <w:jc w:val="both"/>
        <w:rPr>
          <w:b/>
        </w:rPr>
      </w:pPr>
      <w:r w:rsidRPr="0097136E">
        <w:rPr>
          <w:b/>
        </w:rPr>
        <w:t>Nachfrage nach Sensoren und Applikationslösungen von SICK weltweit sehr dyna</w:t>
      </w:r>
      <w:r w:rsidR="0097136E">
        <w:rPr>
          <w:b/>
        </w:rPr>
        <w:t>misch</w:t>
      </w:r>
    </w:p>
    <w:p w14:paraId="4AD3DB47" w14:textId="77777777" w:rsidR="00CE0FE2" w:rsidRPr="0097136E" w:rsidRDefault="00CE0FE2" w:rsidP="00C92606">
      <w:pPr>
        <w:spacing w:line="276" w:lineRule="auto"/>
        <w:jc w:val="both"/>
        <w:rPr>
          <w:b/>
        </w:rPr>
      </w:pPr>
    </w:p>
    <w:p w14:paraId="3C900FA1" w14:textId="77777777" w:rsidR="00FE0718" w:rsidRPr="00230B93" w:rsidRDefault="00C92606" w:rsidP="00230B93">
      <w:pPr>
        <w:spacing w:line="276" w:lineRule="auto"/>
      </w:pPr>
      <w:r w:rsidRPr="00230B93">
        <w:t xml:space="preserve">Neben der Präsenz in den etablierten Märkten trugen auch die Vertriebsaktivitäten in den Wachstumsregionen dieser Welt dazu bei, den Umsatz weiter zu erhöhen. </w:t>
      </w:r>
      <w:r w:rsidR="00FE0718" w:rsidRPr="00230B93">
        <w:t>Im Heimatmarkt Deut</w:t>
      </w:r>
      <w:r w:rsidR="004B5AFE">
        <w:t xml:space="preserve">schland wuchs der Umsatz </w:t>
      </w:r>
      <w:r w:rsidR="00871266">
        <w:t xml:space="preserve">um 1,3 Prozent gegenüber </w:t>
      </w:r>
      <w:r w:rsidR="005D610E">
        <w:t xml:space="preserve">dem Vorjahr. </w:t>
      </w:r>
      <w:r w:rsidR="00FE0718" w:rsidRPr="00230B93">
        <w:t>Generell bremste die sich abflachende konjunkturelle Entwicklung im Heimatmarkt die Wachstumsdynamik von SICK in Deutschland. Gerade Kunden aus den Bereichen Automotive sowie Intra- und Transportlogistik hielten sich mit ihren Investitione</w:t>
      </w:r>
      <w:r w:rsidR="005D610E">
        <w:t>n im Geschäftsjahr 2018 zurück.</w:t>
      </w:r>
    </w:p>
    <w:p w14:paraId="7DB46F59" w14:textId="77777777" w:rsidR="00FE0718" w:rsidRPr="00230B93" w:rsidRDefault="00FE0718" w:rsidP="00230B93">
      <w:pPr>
        <w:spacing w:line="276" w:lineRule="auto"/>
      </w:pPr>
      <w:r w:rsidRPr="00230B93">
        <w:t>Die Vertriebsregion Europa, Naher Osten und Afrika (EMEA) erreichte ein Umsatzplus von 8,5 Prozent. Besonders starke Wachstumsimpulse kamen im Geschäftsjahr 2018 aus allen skandinavischen Ländern. Hier wurde insbesondere in der Transportlogistik und in der Prozessautomation, z.</w:t>
      </w:r>
      <w:r w:rsidR="00112FC5">
        <w:t xml:space="preserve"> </w:t>
      </w:r>
      <w:r w:rsidRPr="00230B93">
        <w:t xml:space="preserve">B. im Bereich von Schiffsemissionsmessungen, ein herausragendes und nachhaltiges Wachstum erzielt. In den südwesteuropäischen Ländern verlief das Wachstum im Rahmen der Erwartungen. Hier waren gerade im Bereich der Prozessautomation Kunden aus der Öl- und Gasindustrie zurückhaltend in ihrer Nachfrage. In der Türkei konnte trotz der hohen Wertschwankungen der türkischen Lira ein erfreuliches Wachstum in Euro erzielt werden. </w:t>
      </w:r>
    </w:p>
    <w:p w14:paraId="0E209DB3" w14:textId="77777777" w:rsidR="00FE0718" w:rsidRPr="00230B93" w:rsidRDefault="00FE0718" w:rsidP="00230B93">
      <w:pPr>
        <w:spacing w:line="276" w:lineRule="auto"/>
      </w:pPr>
      <w:r w:rsidRPr="00230B93">
        <w:lastRenderedPageBreak/>
        <w:t xml:space="preserve">Das Umsatzwachstum in Nord-, Mittel- und Südamerika (Americas) </w:t>
      </w:r>
      <w:r w:rsidR="00C02F2F">
        <w:t>betrug</w:t>
      </w:r>
      <w:r w:rsidRPr="00230B93">
        <w:t xml:space="preserve"> 10,1 Prozent. Wesentli</w:t>
      </w:r>
      <w:r w:rsidR="00230B93">
        <w:t>cher Treiber des</w:t>
      </w:r>
      <w:r w:rsidRPr="00230B93">
        <w:t xml:space="preserve"> Wachstums war die gestiegene Kundennachfrage aus den USA. So konnte das besonders erfolgreiche Geschäft mit den US-Kunden aus der Intra- und Transportlogistik sowie der Öl- und Gasindustrie weiter fortgeführt werden. </w:t>
      </w:r>
      <w:r w:rsidR="00230B93" w:rsidRPr="00230B93">
        <w:t xml:space="preserve">Allerdings </w:t>
      </w:r>
      <w:r w:rsidRPr="00230B93">
        <w:t xml:space="preserve">wurde das sehr erfreuliche Wachstum in der Region durch Wechselkurseffekte beeinträchtigt. </w:t>
      </w:r>
    </w:p>
    <w:p w14:paraId="144E92F4" w14:textId="77777777" w:rsidR="00FE0718" w:rsidRPr="00230B93" w:rsidRDefault="00FE0718" w:rsidP="00230B93">
      <w:pPr>
        <w:spacing w:line="276" w:lineRule="auto"/>
      </w:pPr>
      <w:r w:rsidRPr="00230B93">
        <w:t xml:space="preserve">Wiederum sehr dynamisch fiel das Wachstum in der Region Asien-Pazifik aus. Mit einem Zuwachs von 12,9 Prozent blieb das Umsatzplus auch 2018 zweistellig. In China konnte das Geschäftsvolumen erneut </w:t>
      </w:r>
      <w:r w:rsidR="00C02F2F">
        <w:t>erheblich</w:t>
      </w:r>
      <w:r w:rsidR="00C02F2F" w:rsidRPr="00230B93">
        <w:t xml:space="preserve"> </w:t>
      </w:r>
      <w:r w:rsidRPr="00230B93">
        <w:t xml:space="preserve">gesteigert werden – und zwar durch Kunden aller Branchen. Der Umsatz konnte ebenfalls in Japan, Singapur und Taiwan stark gesteigert werden. In der gesamten Region Asien-Pazifik belasteten Wechselkurseffekte die positive Umsatzentwicklung, vor allem durch den im Vergleich zum Euro schwächer notierenden chinesischen Renminbi. </w:t>
      </w:r>
    </w:p>
    <w:p w14:paraId="2E5B7D22" w14:textId="77777777" w:rsidR="00F7375F" w:rsidRPr="00820421" w:rsidRDefault="003A373C" w:rsidP="00F7375F">
      <w:pPr>
        <w:pStyle w:val="berschrift2"/>
      </w:pPr>
      <w:r w:rsidRPr="00820421">
        <w:t xml:space="preserve">Profitabilität </w:t>
      </w:r>
      <w:r w:rsidR="00820421">
        <w:t>ermöglicht Investitionen in die Zukunft</w:t>
      </w:r>
    </w:p>
    <w:p w14:paraId="06DC3A73" w14:textId="77777777" w:rsidR="00F22184" w:rsidRPr="00200EFE" w:rsidRDefault="00F22184" w:rsidP="00684962">
      <w:pPr>
        <w:spacing w:line="276" w:lineRule="auto"/>
      </w:pPr>
      <w:r w:rsidRPr="00200EFE">
        <w:t xml:space="preserve">Das Ergebnis vor Zinsen und Steuern (EBIT) ging im Geschäftsjahr 2018 zurück. Die sich ergebende Entwicklung spiegelt vor allem die planmäßigen Steigerungen von strukturellen Aufwendungen für die Zukunftssicherung des Unternehmens wider. </w:t>
      </w:r>
      <w:r>
        <w:t xml:space="preserve">Wesentlich waren auch die außergewöhnlichen Maßnahmen zur Sicherstellung der Lieferfähigkeit angesichts extremer Engpässe auf den Beschaffungsmärkten. </w:t>
      </w:r>
      <w:r w:rsidRPr="00200EFE">
        <w:t xml:space="preserve">In Summe wurde </w:t>
      </w:r>
      <w:r w:rsidRPr="000446DF">
        <w:t>ein Ergebnis vor Zinsen und Steuern (EBIT)</w:t>
      </w:r>
      <w:r w:rsidRPr="00200EFE">
        <w:t xml:space="preserve"> in Höhe von 11</w:t>
      </w:r>
      <w:r>
        <w:t>7</w:t>
      </w:r>
      <w:r w:rsidRPr="00200EFE">
        <w:t>,</w:t>
      </w:r>
      <w:r>
        <w:t>5</w:t>
      </w:r>
      <w:r w:rsidRPr="00200EFE">
        <w:t xml:space="preserve"> Mio. Euro erwirtschaftet </w:t>
      </w:r>
      <w:r>
        <w:t>(2017: 148,8 Mio. Euro)</w:t>
      </w:r>
      <w:r w:rsidR="007D0B13">
        <w:t xml:space="preserve">. </w:t>
      </w:r>
    </w:p>
    <w:p w14:paraId="49BB10FD" w14:textId="77777777" w:rsidR="005D68B5" w:rsidRPr="009F6102" w:rsidRDefault="007D0B13" w:rsidP="005D610E">
      <w:pPr>
        <w:spacing w:line="276" w:lineRule="auto"/>
        <w:rPr>
          <w:rFonts w:cs="Arial"/>
          <w:szCs w:val="20"/>
        </w:rPr>
      </w:pPr>
      <w:r w:rsidRPr="008C11D0">
        <w:t>Zur Sicherung und Stärkung der führenden Marktposition sind angesichts der großen techn</w:t>
      </w:r>
      <w:r w:rsidR="005D610E">
        <w:t>ologischen Möglichkeiten und der dynamischen</w:t>
      </w:r>
      <w:r w:rsidRPr="008C11D0">
        <w:t xml:space="preserve"> Wettbewerbs</w:t>
      </w:r>
      <w:r w:rsidR="005D610E">
        <w:t>situation</w:t>
      </w:r>
      <w:r w:rsidRPr="008C11D0">
        <w:t xml:space="preserve"> hohe Investitionen in dem Bereich Forschung und Entwicklung (F&amp;E) erforderlich. Diese kann nur ein finanzstarker und innovativer Konzern leisten. </w:t>
      </w:r>
    </w:p>
    <w:p w14:paraId="28879121" w14:textId="77777777" w:rsidR="006B27FD" w:rsidRPr="00451BE3" w:rsidRDefault="006B27FD" w:rsidP="006B27FD">
      <w:pPr>
        <w:pStyle w:val="berschrift5"/>
        <w:rPr>
          <w:rFonts w:ascii="Arial" w:eastAsia="Calibri" w:hAnsi="Arial" w:cs="Times New Roman"/>
          <w:b/>
          <w:color w:val="auto"/>
        </w:rPr>
      </w:pPr>
      <w:r w:rsidRPr="00451BE3">
        <w:rPr>
          <w:rFonts w:ascii="Arial" w:eastAsia="Calibri" w:hAnsi="Arial" w:cs="Times New Roman"/>
          <w:b/>
          <w:color w:val="auto"/>
        </w:rPr>
        <w:t>Investitionen in die Innovationskraft</w:t>
      </w:r>
    </w:p>
    <w:p w14:paraId="73D762F2" w14:textId="77777777" w:rsidR="006B27FD" w:rsidRPr="006B27FD" w:rsidRDefault="006B27FD" w:rsidP="006B27FD"/>
    <w:p w14:paraId="28FBD474" w14:textId="76DAF9EF" w:rsidR="00C214C2" w:rsidRPr="008C11D0" w:rsidRDefault="00451BE3" w:rsidP="00684962">
      <w:pPr>
        <w:spacing w:line="276" w:lineRule="auto"/>
      </w:pPr>
      <w:r w:rsidRPr="008C11D0">
        <w:t>Wie auch in den vergangenen Jahren tätigte SICK in dem Geschäftsjahr 2018 hohe Aufwendungen für F&amp;E-Aktivitäten. Insgesamt erweiterte der SICK-Konzern im Geschäftsjahr 2018 die F&amp;E-Aktivitäten und wendete zur Erreichung der F&amp;E-Ziele 192,5 Mio. Eur</w:t>
      </w:r>
      <w:r w:rsidR="00366538">
        <w:t xml:space="preserve">o (2017: 169,4 Mio. Euro) auf. </w:t>
      </w:r>
      <w:r w:rsidRPr="008C11D0">
        <w:t>Die gesam</w:t>
      </w:r>
      <w:r w:rsidR="007C0200">
        <w:t>ten Aufwendungen für die Start-u</w:t>
      </w:r>
      <w:r w:rsidRPr="008C11D0">
        <w:t>p-Initiativen erreichten im Jahr 2018 einen niedrigen zweistelligen Millionenbetrag. Die hohe Aufwandsquote für F&amp;E von 11,8 Prozent (20</w:t>
      </w:r>
      <w:r w:rsidR="007D0B13">
        <w:t>17: 11,2 Prozent) des Umsatzes</w:t>
      </w:r>
      <w:r w:rsidRPr="008C11D0">
        <w:t xml:space="preserve"> verdeutlicht die Innovationskraft des SICK-Konzerns. Der Schwerpunkt der F&amp;E-Aktivitäten erfolgt unverändert an den Standorten in Deutschland.</w:t>
      </w:r>
      <w:r w:rsidR="00C214C2" w:rsidRPr="008C11D0">
        <w:t xml:space="preserve"> </w:t>
      </w:r>
    </w:p>
    <w:p w14:paraId="60122767" w14:textId="3226C0A7" w:rsidR="000446DF" w:rsidRPr="000446DF" w:rsidRDefault="00820421" w:rsidP="00684962">
      <w:pPr>
        <w:pStyle w:val="berschrift2"/>
      </w:pPr>
      <w:r>
        <w:t xml:space="preserve">Mitarbeiter: </w:t>
      </w:r>
      <w:r w:rsidR="009A390A">
        <w:t xml:space="preserve">Kompetenzen in </w:t>
      </w:r>
      <w:r w:rsidR="000446DF" w:rsidRPr="000446DF">
        <w:t>F&amp;E, Produktion und</w:t>
      </w:r>
      <w:r w:rsidR="009A390A">
        <w:t xml:space="preserve"> </w:t>
      </w:r>
      <w:r w:rsidR="000446DF" w:rsidRPr="000446DF">
        <w:t>weltweiter Vertriebs- und Serviceorganisation weiter verstärkt</w:t>
      </w:r>
    </w:p>
    <w:p w14:paraId="337E7C47" w14:textId="77777777" w:rsidR="00FE0718" w:rsidRDefault="00FE0718" w:rsidP="00684962">
      <w:pPr>
        <w:spacing w:line="276" w:lineRule="auto"/>
      </w:pPr>
      <w:r w:rsidRPr="00456195">
        <w:t>Einhergehend mit dem Umsatzwachstum hat sich im vergangenen Geschäftsjahr auch die Beschäftigtenzahl weltweit um 928 neue Mitarbeiter erhöht. Am Jahresende 2018 beschäftigte der SICK-Konzern insgesamt 9.737 Mitarbeiter. Im Vergleich zum Jahresende 2017 (8.809 Mitarbeiter) betrug der Zuwachs 10,5 Prozent. Dies ist in erster Linie auf den weltweiten Beschäftigtenaufbau zurückzuführen. Insbesondere in den operativen Produktionsbereichen sowie in F&amp;E, Vertrieb und Service wurden neue Mitarbeiter eingestellt. Enthalten sind in dem Aufbau auch die Mitarbeiter für die Start-up-Initiativen.</w:t>
      </w:r>
    </w:p>
    <w:p w14:paraId="3E9ED0FF" w14:textId="77777777" w:rsidR="00FE0718" w:rsidRPr="00FE0718" w:rsidRDefault="00FE0718" w:rsidP="00684962">
      <w:pPr>
        <w:rPr>
          <w:rFonts w:cs="Arial"/>
          <w:color w:val="0070C0"/>
          <w:szCs w:val="20"/>
        </w:rPr>
      </w:pPr>
    </w:p>
    <w:p w14:paraId="6DC49695" w14:textId="77777777" w:rsidR="00820421" w:rsidRDefault="00684962" w:rsidP="00684962">
      <w:pPr>
        <w:rPr>
          <w:rFonts w:eastAsia="Times New Roman"/>
          <w:b/>
          <w:bCs/>
          <w:iCs/>
          <w:szCs w:val="28"/>
        </w:rPr>
      </w:pPr>
      <w:r>
        <w:rPr>
          <w:rFonts w:eastAsia="Times New Roman"/>
          <w:b/>
          <w:bCs/>
          <w:iCs/>
          <w:szCs w:val="28"/>
        </w:rPr>
        <w:t xml:space="preserve">Geschäftsaussichten </w:t>
      </w:r>
      <w:r w:rsidR="00820421" w:rsidRPr="00820421">
        <w:rPr>
          <w:rFonts w:eastAsia="Times New Roman"/>
          <w:b/>
          <w:bCs/>
          <w:iCs/>
          <w:szCs w:val="28"/>
        </w:rPr>
        <w:t>für die Automatisierungsbranche eröffnen 2019 weitere Wachstumschancen</w:t>
      </w:r>
    </w:p>
    <w:p w14:paraId="29D1CB11" w14:textId="77777777" w:rsidR="00820421" w:rsidRPr="00820421" w:rsidRDefault="00820421" w:rsidP="00684962">
      <w:pPr>
        <w:rPr>
          <w:rFonts w:eastAsia="Times New Roman"/>
          <w:b/>
          <w:bCs/>
          <w:iCs/>
          <w:szCs w:val="28"/>
        </w:rPr>
      </w:pPr>
    </w:p>
    <w:p w14:paraId="7068053E" w14:textId="35ABD24F" w:rsidR="00E54FBB" w:rsidRPr="00820421" w:rsidRDefault="006B27FD" w:rsidP="00684962">
      <w:pPr>
        <w:spacing w:line="276" w:lineRule="auto"/>
      </w:pPr>
      <w:r w:rsidRPr="00820421">
        <w:t xml:space="preserve">Die Sensorik bleibt eine Wachstumsbranche. Ein relativ stabiles globales Wachstum, eine zunehmende Industrialisierung der Schwellenländer sowie die zunehmende Digitalisierung und Vernetzung der industriellen Produktion und der Lieferketten sind die Basis für eine steigende Nachfrage </w:t>
      </w:r>
      <w:r w:rsidR="00787F75">
        <w:t>nach den</w:t>
      </w:r>
      <w:r w:rsidRPr="00820421">
        <w:t xml:space="preserve"> Produkte</w:t>
      </w:r>
      <w:r w:rsidR="00787F75">
        <w:t>n</w:t>
      </w:r>
      <w:r w:rsidRPr="00820421">
        <w:t xml:space="preserve"> und Systemlösungen der Sensorikbranche. </w:t>
      </w:r>
      <w:r w:rsidR="00B65B9D">
        <w:br/>
      </w:r>
      <w:r w:rsidR="000446DF" w:rsidRPr="00820421">
        <w:lastRenderedPageBreak/>
        <w:t>D</w:t>
      </w:r>
      <w:r w:rsidR="00E54FBB" w:rsidRPr="00820421">
        <w:t xml:space="preserve">er Ausblick auf das Geschäftsjahr 2019 fällt insgesamt </w:t>
      </w:r>
      <w:r w:rsidR="000446DF" w:rsidRPr="00820421">
        <w:t>verhalten</w:t>
      </w:r>
      <w:r w:rsidR="00E54FBB" w:rsidRPr="00820421">
        <w:t xml:space="preserve"> aus. Das globale Wirtschaftswachstum </w:t>
      </w:r>
      <w:r w:rsidR="009E501C">
        <w:t>wird derzeit laufend nach unten korrigiert.</w:t>
      </w:r>
      <w:r w:rsidR="00E54FBB" w:rsidRPr="00820421">
        <w:t xml:space="preserve"> </w:t>
      </w:r>
      <w:r w:rsidR="009E501C">
        <w:t xml:space="preserve">Die </w:t>
      </w:r>
      <w:r w:rsidR="00E54FBB" w:rsidRPr="00820421">
        <w:t xml:space="preserve">Risiken für die globale Konjunktur </w:t>
      </w:r>
      <w:r w:rsidR="009E501C">
        <w:t xml:space="preserve">haben </w:t>
      </w:r>
      <w:r w:rsidR="00E54FBB" w:rsidRPr="00820421">
        <w:t xml:space="preserve">erheblich zugenommen und erhöhen die Unsicherheit der Prognose. </w:t>
      </w:r>
      <w:r w:rsidR="00E332A5" w:rsidRPr="009A390A">
        <w:t>Aufgrund seiner br</w:t>
      </w:r>
      <w:r w:rsidR="009A390A" w:rsidRPr="009A390A">
        <w:t>eiten Branchenpräsenz und seines</w:t>
      </w:r>
      <w:r w:rsidR="00E54FBB" w:rsidRPr="009A390A">
        <w:t xml:space="preserve"> innovativen Produkt- und Leistungsportfolio</w:t>
      </w:r>
      <w:r w:rsidR="009A390A" w:rsidRPr="009A390A">
        <w:t>s</w:t>
      </w:r>
      <w:r w:rsidR="00E54FBB" w:rsidRPr="009A390A">
        <w:t xml:space="preserve"> ist der SICK-Konzern</w:t>
      </w:r>
      <w:r w:rsidR="00E54FBB" w:rsidRPr="00820421">
        <w:t xml:space="preserve"> jedoch aussichtsreich positioniert, um von den zunehmenden Anforderungen – gerade im Kontext von Digitalisierung und Industrie 4.0 – weiter zu profitieren.</w:t>
      </w:r>
      <w:r w:rsidR="00E332A5">
        <w:t xml:space="preserve"> </w:t>
      </w:r>
      <w:r w:rsidR="005D610E" w:rsidRPr="005D610E">
        <w:t xml:space="preserve">Besonders die sehr gute Auftragslage bei </w:t>
      </w:r>
      <w:r w:rsidR="005D610E">
        <w:t>Lösungen zur Schiffsemissionsmessung</w:t>
      </w:r>
      <w:r w:rsidR="005D610E" w:rsidRPr="005D610E">
        <w:t xml:space="preserve"> und bei Systemen für die Logistik </w:t>
      </w:r>
      <w:r w:rsidR="00AD08FC">
        <w:t xml:space="preserve">wird </w:t>
      </w:r>
      <w:r w:rsidR="00D677A6">
        <w:t xml:space="preserve">in 2019 das angestrebte Wachstum unterstützen. </w:t>
      </w:r>
      <w:r w:rsidR="00E54FBB" w:rsidRPr="00820421">
        <w:t>Die weltweite Präsenz bleib</w:t>
      </w:r>
      <w:r w:rsidR="00232797">
        <w:t>t</w:t>
      </w:r>
      <w:r w:rsidR="00E54FBB" w:rsidRPr="00820421">
        <w:t xml:space="preserve"> eine gute Grundlage, um auch 2019 weiter </w:t>
      </w:r>
      <w:r w:rsidR="00232797">
        <w:t xml:space="preserve">Wachstumschancen zu ergreifen </w:t>
      </w:r>
      <w:r w:rsidR="00E54FBB" w:rsidRPr="00820421">
        <w:t>und die Profitabilität des SICK-Konzerns sichern zu können.</w:t>
      </w:r>
    </w:p>
    <w:p w14:paraId="619E12F5" w14:textId="77777777" w:rsidR="00871461" w:rsidRPr="001A604B" w:rsidRDefault="00871461" w:rsidP="00871461">
      <w:pPr>
        <w:pStyle w:val="berschrift2"/>
        <w:suppressAutoHyphens/>
      </w:pPr>
      <w:r w:rsidRPr="00BD47D6">
        <w:t xml:space="preserve">Die </w:t>
      </w:r>
      <w:r w:rsidRPr="00517F77">
        <w:t>wichtigsten Kennzahlen</w:t>
      </w:r>
      <w:r w:rsidR="00AE6B54">
        <w:t xml:space="preserve"> dieser Mitteilung im Überblick</w:t>
      </w:r>
      <w:r w:rsidR="00777A68">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9"/>
        <w:gridCol w:w="1560"/>
        <w:gridCol w:w="1984"/>
      </w:tblGrid>
      <w:tr w:rsidR="00325E32" w:rsidRPr="005927EA" w14:paraId="620952E2" w14:textId="77777777" w:rsidTr="00325E32">
        <w:trPr>
          <w:trHeight w:val="416"/>
        </w:trPr>
        <w:tc>
          <w:tcPr>
            <w:tcW w:w="4111" w:type="dxa"/>
            <w:shd w:val="clear" w:color="auto" w:fill="007FC3"/>
            <w:vAlign w:val="center"/>
          </w:tcPr>
          <w:p w14:paraId="084A2F87" w14:textId="77777777" w:rsidR="00325E32" w:rsidRPr="005927EA" w:rsidRDefault="00325E32" w:rsidP="000A78E5">
            <w:pPr>
              <w:suppressAutoHyphens/>
              <w:rPr>
                <w:rFonts w:cs="Arial"/>
                <w:b/>
                <w:color w:val="FFFFFF" w:themeColor="background1"/>
              </w:rPr>
            </w:pPr>
            <w:r w:rsidRPr="005927EA">
              <w:rPr>
                <w:rFonts w:cs="Arial"/>
                <w:b/>
                <w:color w:val="FFFFFF" w:themeColor="background1"/>
              </w:rPr>
              <w:t>SICK-Konzern (IFRS)</w:t>
            </w:r>
          </w:p>
        </w:tc>
        <w:tc>
          <w:tcPr>
            <w:tcW w:w="1559" w:type="dxa"/>
            <w:shd w:val="clear" w:color="auto" w:fill="007FC3"/>
            <w:vAlign w:val="center"/>
          </w:tcPr>
          <w:p w14:paraId="210DFE73" w14:textId="77777777" w:rsidR="00325E32" w:rsidRPr="005927EA" w:rsidRDefault="00493550" w:rsidP="000A78E5">
            <w:pPr>
              <w:suppressAutoHyphens/>
              <w:rPr>
                <w:rFonts w:cs="Arial"/>
                <w:b/>
                <w:color w:val="FFFFFF" w:themeColor="background1"/>
              </w:rPr>
            </w:pPr>
            <w:r>
              <w:rPr>
                <w:rFonts w:cs="Arial"/>
                <w:b/>
                <w:color w:val="FFFFFF" w:themeColor="background1"/>
              </w:rPr>
              <w:t>2017</w:t>
            </w:r>
          </w:p>
        </w:tc>
        <w:tc>
          <w:tcPr>
            <w:tcW w:w="1560" w:type="dxa"/>
            <w:shd w:val="clear" w:color="auto" w:fill="007FC3"/>
            <w:vAlign w:val="center"/>
          </w:tcPr>
          <w:p w14:paraId="30E7424B" w14:textId="77777777" w:rsidR="00325E32" w:rsidRPr="005927EA" w:rsidRDefault="00493550" w:rsidP="00325E32">
            <w:pPr>
              <w:suppressAutoHyphens/>
              <w:rPr>
                <w:rFonts w:cs="Arial"/>
                <w:b/>
                <w:color w:val="FFFFFF" w:themeColor="background1"/>
              </w:rPr>
            </w:pPr>
            <w:r>
              <w:rPr>
                <w:rFonts w:cs="Arial"/>
                <w:b/>
                <w:color w:val="FFFFFF" w:themeColor="background1"/>
              </w:rPr>
              <w:t>2018</w:t>
            </w:r>
          </w:p>
        </w:tc>
        <w:tc>
          <w:tcPr>
            <w:tcW w:w="1984" w:type="dxa"/>
            <w:shd w:val="clear" w:color="auto" w:fill="007FC3"/>
            <w:vAlign w:val="center"/>
          </w:tcPr>
          <w:p w14:paraId="32E6F9C9" w14:textId="77777777" w:rsidR="00325E32" w:rsidRPr="005927EA" w:rsidRDefault="00325E32" w:rsidP="000A78E5">
            <w:pPr>
              <w:suppressAutoHyphens/>
              <w:rPr>
                <w:rFonts w:cs="Arial"/>
                <w:b/>
                <w:color w:val="FFFFFF" w:themeColor="background1"/>
              </w:rPr>
            </w:pPr>
            <w:r w:rsidRPr="005927EA">
              <w:rPr>
                <w:rFonts w:cs="Arial"/>
                <w:b/>
                <w:color w:val="FFFFFF" w:themeColor="background1"/>
              </w:rPr>
              <w:t>Veränderung in %</w:t>
            </w:r>
          </w:p>
        </w:tc>
      </w:tr>
      <w:tr w:rsidR="000A78E5" w:rsidRPr="005927EA" w14:paraId="447E235C" w14:textId="77777777" w:rsidTr="000A78E5">
        <w:trPr>
          <w:trHeight w:hRule="exact" w:val="454"/>
        </w:trPr>
        <w:tc>
          <w:tcPr>
            <w:tcW w:w="4111" w:type="dxa"/>
            <w:vAlign w:val="center"/>
          </w:tcPr>
          <w:p w14:paraId="1ABD9127" w14:textId="77777777" w:rsidR="000A78E5" w:rsidRPr="005927EA" w:rsidRDefault="000A78E5" w:rsidP="000A78E5">
            <w:pPr>
              <w:suppressAutoHyphens/>
              <w:spacing w:before="120"/>
              <w:rPr>
                <w:rFonts w:cs="Arial"/>
              </w:rPr>
            </w:pPr>
            <w:r w:rsidRPr="00BD47D6">
              <w:rPr>
                <w:rFonts w:cs="Arial"/>
              </w:rPr>
              <w:t>Auftragseingang</w:t>
            </w:r>
            <w:r w:rsidRPr="005927EA">
              <w:rPr>
                <w:rFonts w:cs="Arial"/>
              </w:rPr>
              <w:t xml:space="preserve"> (in Mio. EUR)</w:t>
            </w:r>
          </w:p>
        </w:tc>
        <w:tc>
          <w:tcPr>
            <w:tcW w:w="1559" w:type="dxa"/>
            <w:vAlign w:val="center"/>
          </w:tcPr>
          <w:p w14:paraId="757651F7" w14:textId="0CB1FDB8" w:rsidR="000A78E5" w:rsidRDefault="00493550" w:rsidP="000A2478">
            <w:pPr>
              <w:suppressAutoHyphens/>
              <w:spacing w:before="120"/>
              <w:rPr>
                <w:rFonts w:cs="Arial"/>
              </w:rPr>
            </w:pPr>
            <w:r>
              <w:rPr>
                <w:rFonts w:cs="Arial"/>
              </w:rPr>
              <w:t>1.542,</w:t>
            </w:r>
            <w:r w:rsidR="000A2478">
              <w:rPr>
                <w:rFonts w:cs="Arial"/>
              </w:rPr>
              <w:t>3</w:t>
            </w:r>
          </w:p>
        </w:tc>
        <w:tc>
          <w:tcPr>
            <w:tcW w:w="1560" w:type="dxa"/>
            <w:vAlign w:val="center"/>
          </w:tcPr>
          <w:p w14:paraId="573377E6" w14:textId="77777777" w:rsidR="000A78E5" w:rsidRPr="00603D4A" w:rsidRDefault="00080AE3" w:rsidP="000A78E5">
            <w:pPr>
              <w:suppressAutoHyphens/>
              <w:spacing w:before="120"/>
              <w:rPr>
                <w:rFonts w:cs="Arial"/>
              </w:rPr>
            </w:pPr>
            <w:r w:rsidRPr="00200EFE">
              <w:t>1.701,0</w:t>
            </w:r>
          </w:p>
        </w:tc>
        <w:tc>
          <w:tcPr>
            <w:tcW w:w="1984" w:type="dxa"/>
            <w:vAlign w:val="center"/>
          </w:tcPr>
          <w:p w14:paraId="6C8BA677" w14:textId="77777777" w:rsidR="000A78E5" w:rsidRPr="00DA05A3" w:rsidRDefault="00080AE3" w:rsidP="000A78E5">
            <w:pPr>
              <w:suppressAutoHyphens/>
              <w:spacing w:before="120"/>
              <w:rPr>
                <w:rFonts w:cs="Arial"/>
                <w:color w:val="FF0000"/>
              </w:rPr>
            </w:pPr>
            <w:r w:rsidRPr="00200EFE">
              <w:t>10,3</w:t>
            </w:r>
          </w:p>
        </w:tc>
      </w:tr>
      <w:tr w:rsidR="000A78E5" w:rsidRPr="005927EA" w14:paraId="4B5173BE" w14:textId="77777777" w:rsidTr="000A78E5">
        <w:trPr>
          <w:trHeight w:hRule="exact" w:val="454"/>
        </w:trPr>
        <w:tc>
          <w:tcPr>
            <w:tcW w:w="4111" w:type="dxa"/>
            <w:vAlign w:val="center"/>
          </w:tcPr>
          <w:p w14:paraId="361F4B47" w14:textId="77777777" w:rsidR="000A78E5" w:rsidRPr="005927EA" w:rsidRDefault="000A78E5" w:rsidP="000A78E5">
            <w:pPr>
              <w:suppressAutoHyphens/>
              <w:spacing w:before="120"/>
              <w:rPr>
                <w:rFonts w:cs="Arial"/>
              </w:rPr>
            </w:pPr>
            <w:r w:rsidRPr="00BD47D6">
              <w:rPr>
                <w:rFonts w:cs="Arial"/>
              </w:rPr>
              <w:t>Umsatz</w:t>
            </w:r>
            <w:r w:rsidRPr="005927EA">
              <w:rPr>
                <w:rFonts w:cs="Arial"/>
              </w:rPr>
              <w:t xml:space="preserve"> (in Mio. EUR)</w:t>
            </w:r>
          </w:p>
        </w:tc>
        <w:tc>
          <w:tcPr>
            <w:tcW w:w="1559" w:type="dxa"/>
            <w:vAlign w:val="center"/>
          </w:tcPr>
          <w:p w14:paraId="6997A7E0" w14:textId="77777777" w:rsidR="000A78E5" w:rsidRDefault="00493550" w:rsidP="000A78E5">
            <w:pPr>
              <w:suppressAutoHyphens/>
              <w:spacing w:before="120"/>
              <w:rPr>
                <w:rFonts w:cs="Arial"/>
              </w:rPr>
            </w:pPr>
            <w:r>
              <w:rPr>
                <w:rFonts w:cs="Arial"/>
              </w:rPr>
              <w:t>1.511,6</w:t>
            </w:r>
          </w:p>
        </w:tc>
        <w:tc>
          <w:tcPr>
            <w:tcW w:w="1560" w:type="dxa"/>
            <w:vAlign w:val="center"/>
          </w:tcPr>
          <w:p w14:paraId="7A102858" w14:textId="77777777" w:rsidR="000A78E5" w:rsidRPr="00603D4A" w:rsidRDefault="00080AE3" w:rsidP="000A78E5">
            <w:pPr>
              <w:suppressAutoHyphens/>
              <w:spacing w:before="120"/>
              <w:rPr>
                <w:rFonts w:cs="Arial"/>
              </w:rPr>
            </w:pPr>
            <w:r w:rsidRPr="00200EFE">
              <w:rPr>
                <w14:textOutline w14:w="0" w14:cap="flat" w14:cmpd="sng" w14:algn="ctr">
                  <w14:noFill/>
                  <w14:prstDash w14:val="solid"/>
                  <w14:round/>
                </w14:textOutline>
              </w:rPr>
              <w:t>1.636,8</w:t>
            </w:r>
          </w:p>
        </w:tc>
        <w:tc>
          <w:tcPr>
            <w:tcW w:w="1984" w:type="dxa"/>
            <w:vAlign w:val="center"/>
          </w:tcPr>
          <w:p w14:paraId="58E8AE5B" w14:textId="77777777" w:rsidR="000A78E5" w:rsidRDefault="00080AE3" w:rsidP="00603D4A">
            <w:pPr>
              <w:suppressAutoHyphens/>
              <w:spacing w:before="120"/>
            </w:pPr>
            <w:r w:rsidRPr="00200EFE">
              <w:t>8,3</w:t>
            </w:r>
          </w:p>
          <w:p w14:paraId="7175B298" w14:textId="77777777" w:rsidR="00080AE3" w:rsidRPr="00DA05A3" w:rsidRDefault="00080AE3" w:rsidP="00603D4A">
            <w:pPr>
              <w:suppressAutoHyphens/>
              <w:spacing w:before="120"/>
              <w:rPr>
                <w:rFonts w:cs="Arial"/>
                <w:color w:val="FF0000"/>
              </w:rPr>
            </w:pPr>
          </w:p>
        </w:tc>
      </w:tr>
      <w:tr w:rsidR="000A78E5" w:rsidRPr="005927EA" w14:paraId="3C190ED4" w14:textId="77777777" w:rsidTr="000A78E5">
        <w:trPr>
          <w:trHeight w:hRule="exact" w:val="454"/>
        </w:trPr>
        <w:tc>
          <w:tcPr>
            <w:tcW w:w="4111" w:type="dxa"/>
            <w:vAlign w:val="center"/>
          </w:tcPr>
          <w:p w14:paraId="0ED22A0D" w14:textId="77777777" w:rsidR="000A78E5" w:rsidRPr="005927EA" w:rsidRDefault="000A78E5" w:rsidP="000A78E5">
            <w:pPr>
              <w:suppressAutoHyphens/>
              <w:spacing w:before="120"/>
              <w:rPr>
                <w:rFonts w:cs="Arial"/>
              </w:rPr>
            </w:pPr>
            <w:r w:rsidRPr="00BD47D6">
              <w:rPr>
                <w:rFonts w:cs="Arial"/>
              </w:rPr>
              <w:t>EBIT</w:t>
            </w:r>
            <w:r w:rsidRPr="005927EA">
              <w:rPr>
                <w:rFonts w:cs="Arial"/>
              </w:rPr>
              <w:t xml:space="preserve"> (in Mio. EUR)</w:t>
            </w:r>
          </w:p>
        </w:tc>
        <w:tc>
          <w:tcPr>
            <w:tcW w:w="1559" w:type="dxa"/>
            <w:vAlign w:val="center"/>
          </w:tcPr>
          <w:p w14:paraId="2FA3E906" w14:textId="77777777" w:rsidR="000A78E5" w:rsidRDefault="00493550" w:rsidP="000A78E5">
            <w:pPr>
              <w:suppressAutoHyphens/>
              <w:spacing w:before="120"/>
              <w:rPr>
                <w:rFonts w:cs="Arial"/>
              </w:rPr>
            </w:pPr>
            <w:r>
              <w:rPr>
                <w:rFonts w:cs="Arial"/>
              </w:rPr>
              <w:t>148,8</w:t>
            </w:r>
          </w:p>
        </w:tc>
        <w:tc>
          <w:tcPr>
            <w:tcW w:w="1560" w:type="dxa"/>
            <w:vAlign w:val="center"/>
          </w:tcPr>
          <w:p w14:paraId="3E2F5CC7" w14:textId="77777777" w:rsidR="000A78E5" w:rsidRPr="00603D4A" w:rsidRDefault="00693A6E" w:rsidP="000A78E5">
            <w:pPr>
              <w:suppressAutoHyphens/>
              <w:spacing w:before="120"/>
              <w:rPr>
                <w:rFonts w:cs="Arial"/>
              </w:rPr>
            </w:pPr>
            <w:r w:rsidRPr="00200EFE">
              <w:rPr>
                <w:rFonts w:cs="Arial"/>
                <w:bCs/>
                <w:lang w:eastAsia="de-DE"/>
              </w:rPr>
              <w:t>11</w:t>
            </w:r>
            <w:r>
              <w:rPr>
                <w:rFonts w:cs="Arial"/>
                <w:bCs/>
                <w:lang w:eastAsia="de-DE"/>
              </w:rPr>
              <w:t>7</w:t>
            </w:r>
            <w:r w:rsidRPr="00200EFE">
              <w:rPr>
                <w:rFonts w:cs="Arial"/>
                <w:bCs/>
                <w:lang w:eastAsia="de-DE"/>
              </w:rPr>
              <w:t>,</w:t>
            </w:r>
            <w:r>
              <w:rPr>
                <w:rFonts w:cs="Arial"/>
                <w:bCs/>
                <w:lang w:eastAsia="de-DE"/>
              </w:rPr>
              <w:t>5</w:t>
            </w:r>
          </w:p>
        </w:tc>
        <w:tc>
          <w:tcPr>
            <w:tcW w:w="1984" w:type="dxa"/>
            <w:vAlign w:val="center"/>
          </w:tcPr>
          <w:p w14:paraId="3A0710B7" w14:textId="77777777" w:rsidR="000A78E5" w:rsidRPr="00DA05A3" w:rsidRDefault="00693A6E" w:rsidP="000A78E5">
            <w:pPr>
              <w:suppressAutoHyphens/>
              <w:spacing w:before="120"/>
              <w:rPr>
                <w:rFonts w:cs="Arial"/>
                <w:color w:val="FF0000"/>
              </w:rPr>
            </w:pPr>
            <w:r w:rsidRPr="00200EFE">
              <w:rPr>
                <w:rFonts w:cs="Arial"/>
                <w:bCs/>
                <w:lang w:eastAsia="de-DE"/>
              </w:rPr>
              <w:t>-2</w:t>
            </w:r>
            <w:r>
              <w:rPr>
                <w:rFonts w:cs="Arial"/>
                <w:bCs/>
                <w:lang w:eastAsia="de-DE"/>
              </w:rPr>
              <w:t>1</w:t>
            </w:r>
            <w:r w:rsidRPr="00200EFE">
              <w:rPr>
                <w:rFonts w:cs="Arial"/>
                <w:bCs/>
                <w:lang w:eastAsia="de-DE"/>
              </w:rPr>
              <w:t>,</w:t>
            </w:r>
            <w:r>
              <w:rPr>
                <w:rFonts w:cs="Arial"/>
                <w:bCs/>
                <w:lang w:eastAsia="de-DE"/>
              </w:rPr>
              <w:t>0</w:t>
            </w:r>
          </w:p>
        </w:tc>
      </w:tr>
      <w:tr w:rsidR="000A78E5" w:rsidRPr="005927EA" w14:paraId="22C3B447" w14:textId="77777777" w:rsidTr="000A78E5">
        <w:trPr>
          <w:trHeight w:hRule="exact" w:val="454"/>
        </w:trPr>
        <w:tc>
          <w:tcPr>
            <w:tcW w:w="4111" w:type="dxa"/>
            <w:vAlign w:val="center"/>
          </w:tcPr>
          <w:p w14:paraId="285AA665" w14:textId="77777777" w:rsidR="000A78E5" w:rsidRPr="005927EA" w:rsidRDefault="00562AA8" w:rsidP="000A78E5">
            <w:pPr>
              <w:suppressAutoHyphens/>
              <w:spacing w:before="120"/>
              <w:rPr>
                <w:rFonts w:cs="Arial"/>
              </w:rPr>
            </w:pPr>
            <w:r>
              <w:rPr>
                <w:rFonts w:cs="Arial"/>
              </w:rPr>
              <w:t>Konzernergebnis</w:t>
            </w:r>
            <w:r w:rsidR="000A78E5" w:rsidRPr="005927EA">
              <w:rPr>
                <w:rFonts w:cs="Arial"/>
              </w:rPr>
              <w:t xml:space="preserve"> (in Mio. EUR)</w:t>
            </w:r>
          </w:p>
        </w:tc>
        <w:tc>
          <w:tcPr>
            <w:tcW w:w="1559" w:type="dxa"/>
            <w:vAlign w:val="center"/>
          </w:tcPr>
          <w:p w14:paraId="38AE4031" w14:textId="77777777" w:rsidR="000A78E5" w:rsidRDefault="00493550" w:rsidP="000A78E5">
            <w:pPr>
              <w:suppressAutoHyphens/>
              <w:spacing w:before="120"/>
              <w:rPr>
                <w:rFonts w:cs="Arial"/>
              </w:rPr>
            </w:pPr>
            <w:r>
              <w:rPr>
                <w:rFonts w:cs="Arial"/>
              </w:rPr>
              <w:t>104,3</w:t>
            </w:r>
          </w:p>
        </w:tc>
        <w:tc>
          <w:tcPr>
            <w:tcW w:w="1560" w:type="dxa"/>
            <w:vAlign w:val="center"/>
          </w:tcPr>
          <w:p w14:paraId="0FE166EE" w14:textId="77777777" w:rsidR="000A78E5" w:rsidRPr="00693A6E" w:rsidRDefault="00693A6E" w:rsidP="000A78E5">
            <w:pPr>
              <w:suppressAutoHyphens/>
              <w:spacing w:before="120"/>
            </w:pPr>
            <w:r w:rsidRPr="00200EFE">
              <w:rPr>
                <w:rFonts w:cs="Arial"/>
                <w:bCs/>
                <w:lang w:eastAsia="de-DE"/>
              </w:rPr>
              <w:t>8</w:t>
            </w:r>
            <w:r>
              <w:rPr>
                <w:rFonts w:cs="Arial"/>
                <w:bCs/>
                <w:lang w:eastAsia="de-DE"/>
              </w:rPr>
              <w:t>1</w:t>
            </w:r>
            <w:r w:rsidRPr="00200EFE">
              <w:rPr>
                <w:rFonts w:cs="Arial"/>
                <w:bCs/>
                <w:lang w:eastAsia="de-DE"/>
              </w:rPr>
              <w:t>,</w:t>
            </w:r>
            <w:r>
              <w:rPr>
                <w:rFonts w:cs="Arial"/>
                <w:bCs/>
                <w:lang w:eastAsia="de-DE"/>
              </w:rPr>
              <w:t>7</w:t>
            </w:r>
          </w:p>
        </w:tc>
        <w:tc>
          <w:tcPr>
            <w:tcW w:w="1984" w:type="dxa"/>
            <w:vAlign w:val="center"/>
          </w:tcPr>
          <w:p w14:paraId="553664BE" w14:textId="77777777" w:rsidR="000A78E5" w:rsidRPr="00DA05A3" w:rsidRDefault="00693A6E" w:rsidP="000A78E5">
            <w:pPr>
              <w:suppressAutoHyphens/>
              <w:spacing w:before="120"/>
              <w:rPr>
                <w:rFonts w:cs="Arial"/>
                <w:color w:val="FF0000"/>
              </w:rPr>
            </w:pPr>
            <w:r w:rsidRPr="00200EFE">
              <w:rPr>
                <w:rFonts w:cs="Arial"/>
                <w:bCs/>
                <w:lang w:eastAsia="de-DE"/>
              </w:rPr>
              <w:t>-21,</w:t>
            </w:r>
            <w:r>
              <w:rPr>
                <w:rFonts w:cs="Arial"/>
                <w:bCs/>
                <w:lang w:eastAsia="de-DE"/>
              </w:rPr>
              <w:t>7</w:t>
            </w:r>
          </w:p>
        </w:tc>
      </w:tr>
      <w:tr w:rsidR="000A78E5" w:rsidRPr="005927EA" w14:paraId="61C163B9" w14:textId="77777777" w:rsidTr="000A78E5">
        <w:trPr>
          <w:trHeight w:hRule="exact" w:val="454"/>
        </w:trPr>
        <w:tc>
          <w:tcPr>
            <w:tcW w:w="4111" w:type="dxa"/>
            <w:vAlign w:val="center"/>
          </w:tcPr>
          <w:p w14:paraId="48E7C6CF" w14:textId="77777777" w:rsidR="000A78E5" w:rsidRPr="005927EA" w:rsidRDefault="000A78E5" w:rsidP="000A78E5">
            <w:pPr>
              <w:suppressAutoHyphens/>
              <w:spacing w:before="120"/>
              <w:rPr>
                <w:rFonts w:cs="Arial"/>
              </w:rPr>
            </w:pPr>
            <w:r w:rsidRPr="005927EA">
              <w:rPr>
                <w:rFonts w:cs="Arial"/>
              </w:rPr>
              <w:t>F&amp;E-Aufwand (in Mio. EUR)</w:t>
            </w:r>
          </w:p>
        </w:tc>
        <w:tc>
          <w:tcPr>
            <w:tcW w:w="1559" w:type="dxa"/>
            <w:vAlign w:val="center"/>
          </w:tcPr>
          <w:p w14:paraId="7EC2C3D2" w14:textId="77777777" w:rsidR="000A78E5" w:rsidRDefault="00493550" w:rsidP="000A78E5">
            <w:pPr>
              <w:suppressAutoHyphens/>
              <w:spacing w:before="120"/>
              <w:rPr>
                <w:rFonts w:cs="Arial"/>
              </w:rPr>
            </w:pPr>
            <w:r>
              <w:rPr>
                <w:rFonts w:cs="Arial"/>
              </w:rPr>
              <w:t>169,</w:t>
            </w:r>
            <w:r w:rsidRPr="00603D4A">
              <w:rPr>
                <w:rFonts w:cs="Arial"/>
              </w:rPr>
              <w:t>4</w:t>
            </w:r>
          </w:p>
        </w:tc>
        <w:tc>
          <w:tcPr>
            <w:tcW w:w="1560" w:type="dxa"/>
            <w:vAlign w:val="center"/>
          </w:tcPr>
          <w:p w14:paraId="10DF3A37" w14:textId="77777777" w:rsidR="000A78E5" w:rsidRPr="00603D4A" w:rsidRDefault="00467CA8" w:rsidP="000A78E5">
            <w:pPr>
              <w:suppressAutoHyphens/>
              <w:spacing w:before="120"/>
              <w:rPr>
                <w:rFonts w:cs="Arial"/>
              </w:rPr>
            </w:pPr>
            <w:r w:rsidRPr="00B0462F">
              <w:t>192,5</w:t>
            </w:r>
          </w:p>
        </w:tc>
        <w:tc>
          <w:tcPr>
            <w:tcW w:w="1984" w:type="dxa"/>
            <w:vAlign w:val="center"/>
          </w:tcPr>
          <w:p w14:paraId="5EC90B3F" w14:textId="77777777" w:rsidR="000A78E5" w:rsidRPr="00DA05A3" w:rsidRDefault="00E57EBD" w:rsidP="000A78E5">
            <w:pPr>
              <w:suppressAutoHyphens/>
              <w:spacing w:before="120"/>
              <w:rPr>
                <w:rFonts w:cs="Arial"/>
                <w:color w:val="FF0000"/>
              </w:rPr>
            </w:pPr>
            <w:r>
              <w:t>13,6</w:t>
            </w:r>
          </w:p>
        </w:tc>
      </w:tr>
      <w:tr w:rsidR="000A78E5" w:rsidRPr="005927EA" w14:paraId="487A7EBC" w14:textId="77777777" w:rsidTr="000A78E5">
        <w:trPr>
          <w:trHeight w:hRule="exact" w:val="454"/>
        </w:trPr>
        <w:tc>
          <w:tcPr>
            <w:tcW w:w="4111" w:type="dxa"/>
            <w:vAlign w:val="center"/>
          </w:tcPr>
          <w:p w14:paraId="531BA95E" w14:textId="77777777" w:rsidR="000A78E5" w:rsidRPr="005927EA" w:rsidRDefault="000A78E5" w:rsidP="005977DD">
            <w:pPr>
              <w:suppressAutoHyphens/>
              <w:spacing w:before="120"/>
              <w:rPr>
                <w:rFonts w:cs="Arial"/>
              </w:rPr>
            </w:pPr>
            <w:r w:rsidRPr="005927EA">
              <w:rPr>
                <w:rFonts w:cs="Arial"/>
              </w:rPr>
              <w:t xml:space="preserve">Mitarbeiter </w:t>
            </w:r>
            <w:r w:rsidR="005977DD">
              <w:rPr>
                <w:rFonts w:cs="Arial"/>
              </w:rPr>
              <w:t>per 31. Dezember</w:t>
            </w:r>
          </w:p>
        </w:tc>
        <w:tc>
          <w:tcPr>
            <w:tcW w:w="1559" w:type="dxa"/>
            <w:vAlign w:val="center"/>
          </w:tcPr>
          <w:p w14:paraId="673D49F9" w14:textId="77777777" w:rsidR="000A78E5" w:rsidRDefault="00493550" w:rsidP="000A78E5">
            <w:pPr>
              <w:suppressAutoHyphens/>
              <w:spacing w:before="120"/>
              <w:rPr>
                <w:rFonts w:cs="Arial"/>
              </w:rPr>
            </w:pPr>
            <w:r>
              <w:rPr>
                <w:rFonts w:cs="Arial"/>
              </w:rPr>
              <w:t>8.809</w:t>
            </w:r>
          </w:p>
        </w:tc>
        <w:tc>
          <w:tcPr>
            <w:tcW w:w="1560" w:type="dxa"/>
            <w:vAlign w:val="center"/>
          </w:tcPr>
          <w:p w14:paraId="354BB298" w14:textId="77777777" w:rsidR="000A78E5" w:rsidRPr="00603D4A" w:rsidRDefault="00E57EBD" w:rsidP="000A78E5">
            <w:pPr>
              <w:suppressAutoHyphens/>
              <w:spacing w:before="120"/>
              <w:rPr>
                <w:rFonts w:cs="Arial"/>
              </w:rPr>
            </w:pPr>
            <w:r>
              <w:rPr>
                <w:rFonts w:cs="Arial"/>
              </w:rPr>
              <w:t>9.737</w:t>
            </w:r>
          </w:p>
        </w:tc>
        <w:tc>
          <w:tcPr>
            <w:tcW w:w="1984" w:type="dxa"/>
            <w:vAlign w:val="center"/>
          </w:tcPr>
          <w:p w14:paraId="340F4298" w14:textId="77777777" w:rsidR="000A78E5" w:rsidRPr="00E57EBD" w:rsidRDefault="00E57EBD" w:rsidP="000A78E5">
            <w:pPr>
              <w:suppressAutoHyphens/>
              <w:spacing w:before="120"/>
              <w:rPr>
                <w:rFonts w:cs="Arial"/>
                <w:color w:val="FF0000"/>
              </w:rPr>
            </w:pPr>
            <w:r w:rsidRPr="00E57EBD">
              <w:rPr>
                <w:snapToGrid w:val="0"/>
                <w:lang w:eastAsia="de-DE"/>
              </w:rPr>
              <w:t>10,5</w:t>
            </w:r>
          </w:p>
        </w:tc>
      </w:tr>
    </w:tbl>
    <w:p w14:paraId="1E5CD102" w14:textId="1C65D9CC" w:rsidR="009A1E8E" w:rsidRDefault="00D36503" w:rsidP="00871461">
      <w:pPr>
        <w:pStyle w:val="Boilerplate"/>
        <w:spacing w:before="480"/>
      </w:pPr>
      <w:r w:rsidRPr="008C11D0">
        <w:rPr>
          <w:b/>
          <w:color w:val="595959" w:themeColor="text1" w:themeTint="A6"/>
        </w:rP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w:t>
      </w:r>
      <w:r w:rsidR="00325E32" w:rsidRPr="008C11D0">
        <w:rPr>
          <w:b/>
          <w:color w:val="595959" w:themeColor="text1" w:themeTint="A6"/>
        </w:rPr>
        <w:t xml:space="preserve">s präsent. </w:t>
      </w:r>
      <w:r w:rsidR="00AD08FC" w:rsidRPr="00AD08FC">
        <w:rPr>
          <w:b/>
          <w:color w:val="595959" w:themeColor="text1" w:themeTint="A6"/>
        </w:rPr>
        <w:t>Im Geschäftsjahr 2018 beschäftigte SICK knapp 10.000 Mitarbeiter weltweit und erzielte einen Konzernumsatz von rund 1,6 Mrd. Euro</w:t>
      </w:r>
      <w:r w:rsidR="00AD08FC">
        <w:rPr>
          <w:b/>
          <w:color w:val="595959" w:themeColor="text1" w:themeTint="A6"/>
        </w:rPr>
        <w:t xml:space="preserve">. </w:t>
      </w:r>
      <w:r w:rsidRPr="008C11D0">
        <w:rPr>
          <w:b/>
          <w:color w:val="595959" w:themeColor="text1" w:themeTint="A6"/>
        </w:rPr>
        <w:br/>
        <w:t xml:space="preserve">Weitere Informationen zu SICK erhalten Sie im Internet unter http://www.sick.com oder unter Telefon </w:t>
      </w:r>
      <w:r w:rsidR="00E332A5">
        <w:rPr>
          <w:b/>
          <w:color w:val="595959" w:themeColor="text1" w:themeTint="A6"/>
        </w:rPr>
        <w:t>+49 7681 202-5747</w:t>
      </w:r>
      <w:r w:rsidR="007B22F3" w:rsidRPr="008C11D0">
        <w:rPr>
          <w:b/>
          <w:color w:val="595959" w:themeColor="text1" w:themeTint="A6"/>
        </w:rPr>
        <w:t>.</w:t>
      </w:r>
    </w:p>
    <w:sectPr w:rsidR="009A1E8E"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F394" w14:textId="77777777" w:rsidR="00D23146" w:rsidRDefault="00D23146" w:rsidP="00CB0E99">
      <w:pPr>
        <w:spacing w:line="240" w:lineRule="auto"/>
      </w:pPr>
      <w:r>
        <w:separator/>
      </w:r>
    </w:p>
  </w:endnote>
  <w:endnote w:type="continuationSeparator" w:id="0">
    <w:p w14:paraId="4C2A154E" w14:textId="77777777" w:rsidR="00D23146" w:rsidRDefault="00D2314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D801" w14:textId="3ED67668" w:rsidR="00DD2C2E" w:rsidRPr="00E273D4" w:rsidRDefault="00DD2C2E"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B5B7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B5B74">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F676" w14:textId="77777777"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3763" w14:textId="77777777" w:rsidR="00D23146" w:rsidRDefault="00D23146" w:rsidP="00CB0E99">
      <w:pPr>
        <w:spacing w:line="240" w:lineRule="auto"/>
      </w:pPr>
      <w:r>
        <w:separator/>
      </w:r>
    </w:p>
  </w:footnote>
  <w:footnote w:type="continuationSeparator" w:id="0">
    <w:p w14:paraId="65E848ED" w14:textId="77777777" w:rsidR="00D23146" w:rsidRDefault="00D2314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4E67" w14:textId="77777777"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58C4649" wp14:editId="7170FFE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78E7" w14:textId="77777777"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EFE166D" w14:textId="77777777"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717747B" wp14:editId="79DC418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DC5CB7"/>
    <w:multiLevelType w:val="hybridMultilevel"/>
    <w:tmpl w:val="211ED9D0"/>
    <w:lvl w:ilvl="0" w:tplc="C4465168">
      <w:start w:val="1"/>
      <w:numFmt w:val="bullet"/>
      <w:lvlText w:val="-"/>
      <w:lvlJc w:val="left"/>
      <w:pPr>
        <w:tabs>
          <w:tab w:val="num" w:pos="720"/>
        </w:tabs>
        <w:ind w:left="720" w:hanging="360"/>
      </w:pPr>
      <w:rPr>
        <w:rFonts w:ascii="Times New Roman" w:hAnsi="Times New Roman" w:hint="default"/>
      </w:rPr>
    </w:lvl>
    <w:lvl w:ilvl="1" w:tplc="662AE802" w:tentative="1">
      <w:start w:val="1"/>
      <w:numFmt w:val="bullet"/>
      <w:lvlText w:val="-"/>
      <w:lvlJc w:val="left"/>
      <w:pPr>
        <w:tabs>
          <w:tab w:val="num" w:pos="1440"/>
        </w:tabs>
        <w:ind w:left="1440" w:hanging="360"/>
      </w:pPr>
      <w:rPr>
        <w:rFonts w:ascii="Times New Roman" w:hAnsi="Times New Roman" w:hint="default"/>
      </w:rPr>
    </w:lvl>
    <w:lvl w:ilvl="2" w:tplc="477844D0" w:tentative="1">
      <w:start w:val="1"/>
      <w:numFmt w:val="bullet"/>
      <w:lvlText w:val="-"/>
      <w:lvlJc w:val="left"/>
      <w:pPr>
        <w:tabs>
          <w:tab w:val="num" w:pos="2160"/>
        </w:tabs>
        <w:ind w:left="2160" w:hanging="360"/>
      </w:pPr>
      <w:rPr>
        <w:rFonts w:ascii="Times New Roman" w:hAnsi="Times New Roman" w:hint="default"/>
      </w:rPr>
    </w:lvl>
    <w:lvl w:ilvl="3" w:tplc="68FE4DB4" w:tentative="1">
      <w:start w:val="1"/>
      <w:numFmt w:val="bullet"/>
      <w:lvlText w:val="-"/>
      <w:lvlJc w:val="left"/>
      <w:pPr>
        <w:tabs>
          <w:tab w:val="num" w:pos="2880"/>
        </w:tabs>
        <w:ind w:left="2880" w:hanging="360"/>
      </w:pPr>
      <w:rPr>
        <w:rFonts w:ascii="Times New Roman" w:hAnsi="Times New Roman" w:hint="default"/>
      </w:rPr>
    </w:lvl>
    <w:lvl w:ilvl="4" w:tplc="7CA8D2F8" w:tentative="1">
      <w:start w:val="1"/>
      <w:numFmt w:val="bullet"/>
      <w:lvlText w:val="-"/>
      <w:lvlJc w:val="left"/>
      <w:pPr>
        <w:tabs>
          <w:tab w:val="num" w:pos="3600"/>
        </w:tabs>
        <w:ind w:left="3600" w:hanging="360"/>
      </w:pPr>
      <w:rPr>
        <w:rFonts w:ascii="Times New Roman" w:hAnsi="Times New Roman" w:hint="default"/>
      </w:rPr>
    </w:lvl>
    <w:lvl w:ilvl="5" w:tplc="11544A10" w:tentative="1">
      <w:start w:val="1"/>
      <w:numFmt w:val="bullet"/>
      <w:lvlText w:val="-"/>
      <w:lvlJc w:val="left"/>
      <w:pPr>
        <w:tabs>
          <w:tab w:val="num" w:pos="4320"/>
        </w:tabs>
        <w:ind w:left="4320" w:hanging="360"/>
      </w:pPr>
      <w:rPr>
        <w:rFonts w:ascii="Times New Roman" w:hAnsi="Times New Roman" w:hint="default"/>
      </w:rPr>
    </w:lvl>
    <w:lvl w:ilvl="6" w:tplc="BC5A7C2E" w:tentative="1">
      <w:start w:val="1"/>
      <w:numFmt w:val="bullet"/>
      <w:lvlText w:val="-"/>
      <w:lvlJc w:val="left"/>
      <w:pPr>
        <w:tabs>
          <w:tab w:val="num" w:pos="5040"/>
        </w:tabs>
        <w:ind w:left="5040" w:hanging="360"/>
      </w:pPr>
      <w:rPr>
        <w:rFonts w:ascii="Times New Roman" w:hAnsi="Times New Roman" w:hint="default"/>
      </w:rPr>
    </w:lvl>
    <w:lvl w:ilvl="7" w:tplc="87AE88DA" w:tentative="1">
      <w:start w:val="1"/>
      <w:numFmt w:val="bullet"/>
      <w:lvlText w:val="-"/>
      <w:lvlJc w:val="left"/>
      <w:pPr>
        <w:tabs>
          <w:tab w:val="num" w:pos="5760"/>
        </w:tabs>
        <w:ind w:left="5760" w:hanging="360"/>
      </w:pPr>
      <w:rPr>
        <w:rFonts w:ascii="Times New Roman" w:hAnsi="Times New Roman" w:hint="default"/>
      </w:rPr>
    </w:lvl>
    <w:lvl w:ilvl="8" w:tplc="A4967D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FF8F47-171B-4763-A28A-5930C2522E90}"/>
    <w:docVar w:name="dgnword-eventsink" w:val="471632480"/>
  </w:docVars>
  <w:rsids>
    <w:rsidRoot w:val="00BB7439"/>
    <w:rsid w:val="000006A0"/>
    <w:rsid w:val="000077BD"/>
    <w:rsid w:val="00020C18"/>
    <w:rsid w:val="000332D6"/>
    <w:rsid w:val="00035182"/>
    <w:rsid w:val="0004016D"/>
    <w:rsid w:val="000446DF"/>
    <w:rsid w:val="00047437"/>
    <w:rsid w:val="000519F5"/>
    <w:rsid w:val="000568A6"/>
    <w:rsid w:val="00080AE3"/>
    <w:rsid w:val="00082311"/>
    <w:rsid w:val="00087191"/>
    <w:rsid w:val="00090565"/>
    <w:rsid w:val="000908A6"/>
    <w:rsid w:val="00090E92"/>
    <w:rsid w:val="00094C9F"/>
    <w:rsid w:val="000A20C1"/>
    <w:rsid w:val="000A2478"/>
    <w:rsid w:val="000A78E5"/>
    <w:rsid w:val="000B7C82"/>
    <w:rsid w:val="000C2652"/>
    <w:rsid w:val="000D19DC"/>
    <w:rsid w:val="000D23CA"/>
    <w:rsid w:val="000E2D3C"/>
    <w:rsid w:val="000E38AB"/>
    <w:rsid w:val="000E4354"/>
    <w:rsid w:val="000F4B24"/>
    <w:rsid w:val="000F5C66"/>
    <w:rsid w:val="001103E0"/>
    <w:rsid w:val="00112FC5"/>
    <w:rsid w:val="0012281F"/>
    <w:rsid w:val="001310B9"/>
    <w:rsid w:val="00140BE6"/>
    <w:rsid w:val="00144B8E"/>
    <w:rsid w:val="001573A1"/>
    <w:rsid w:val="0015775E"/>
    <w:rsid w:val="0016043E"/>
    <w:rsid w:val="00161D1B"/>
    <w:rsid w:val="00161FD9"/>
    <w:rsid w:val="00165ADB"/>
    <w:rsid w:val="00171017"/>
    <w:rsid w:val="00172B83"/>
    <w:rsid w:val="0017428D"/>
    <w:rsid w:val="00174F61"/>
    <w:rsid w:val="0017625B"/>
    <w:rsid w:val="001801E0"/>
    <w:rsid w:val="00180A76"/>
    <w:rsid w:val="00190A9B"/>
    <w:rsid w:val="001A3BE5"/>
    <w:rsid w:val="001A5682"/>
    <w:rsid w:val="001B0E41"/>
    <w:rsid w:val="001B3A32"/>
    <w:rsid w:val="001C17AE"/>
    <w:rsid w:val="001C2172"/>
    <w:rsid w:val="001C6197"/>
    <w:rsid w:val="001E31E4"/>
    <w:rsid w:val="001E47B4"/>
    <w:rsid w:val="001E51CD"/>
    <w:rsid w:val="001E5EDB"/>
    <w:rsid w:val="001F206C"/>
    <w:rsid w:val="0020215B"/>
    <w:rsid w:val="002157C5"/>
    <w:rsid w:val="00215810"/>
    <w:rsid w:val="00216883"/>
    <w:rsid w:val="002215CD"/>
    <w:rsid w:val="00222850"/>
    <w:rsid w:val="00225E67"/>
    <w:rsid w:val="00227C3D"/>
    <w:rsid w:val="00227F24"/>
    <w:rsid w:val="002303F2"/>
    <w:rsid w:val="00230B93"/>
    <w:rsid w:val="00232797"/>
    <w:rsid w:val="002333F8"/>
    <w:rsid w:val="00241027"/>
    <w:rsid w:val="00243368"/>
    <w:rsid w:val="00246DAA"/>
    <w:rsid w:val="00247D17"/>
    <w:rsid w:val="0025113F"/>
    <w:rsid w:val="00253E2F"/>
    <w:rsid w:val="00257FF3"/>
    <w:rsid w:val="002610B2"/>
    <w:rsid w:val="002661BA"/>
    <w:rsid w:val="00271270"/>
    <w:rsid w:val="00286D84"/>
    <w:rsid w:val="002A0FDA"/>
    <w:rsid w:val="002A2A0B"/>
    <w:rsid w:val="002A3232"/>
    <w:rsid w:val="002B10E3"/>
    <w:rsid w:val="002B7DBA"/>
    <w:rsid w:val="002C16DF"/>
    <w:rsid w:val="002C34AC"/>
    <w:rsid w:val="002D6E57"/>
    <w:rsid w:val="002F2270"/>
    <w:rsid w:val="00302AE3"/>
    <w:rsid w:val="003047EE"/>
    <w:rsid w:val="003078FC"/>
    <w:rsid w:val="00311305"/>
    <w:rsid w:val="0032195C"/>
    <w:rsid w:val="00325E32"/>
    <w:rsid w:val="00327ED5"/>
    <w:rsid w:val="0033606A"/>
    <w:rsid w:val="0034097C"/>
    <w:rsid w:val="003409DF"/>
    <w:rsid w:val="00350C1D"/>
    <w:rsid w:val="00365DDC"/>
    <w:rsid w:val="00366538"/>
    <w:rsid w:val="00373862"/>
    <w:rsid w:val="003748C5"/>
    <w:rsid w:val="00377DF0"/>
    <w:rsid w:val="00384F0A"/>
    <w:rsid w:val="00390B37"/>
    <w:rsid w:val="00390C85"/>
    <w:rsid w:val="00392F4D"/>
    <w:rsid w:val="00395FAC"/>
    <w:rsid w:val="003A373C"/>
    <w:rsid w:val="003B29EA"/>
    <w:rsid w:val="003B5F40"/>
    <w:rsid w:val="003B68BC"/>
    <w:rsid w:val="003B7380"/>
    <w:rsid w:val="003C04DA"/>
    <w:rsid w:val="003C0FCE"/>
    <w:rsid w:val="003C1AB7"/>
    <w:rsid w:val="003D12C2"/>
    <w:rsid w:val="00407F8D"/>
    <w:rsid w:val="004140E7"/>
    <w:rsid w:val="0041708B"/>
    <w:rsid w:val="00451BE3"/>
    <w:rsid w:val="00456195"/>
    <w:rsid w:val="00461E95"/>
    <w:rsid w:val="00467CA8"/>
    <w:rsid w:val="00474644"/>
    <w:rsid w:val="00477769"/>
    <w:rsid w:val="00477E5B"/>
    <w:rsid w:val="00493550"/>
    <w:rsid w:val="00494E1E"/>
    <w:rsid w:val="004A21C5"/>
    <w:rsid w:val="004A2E78"/>
    <w:rsid w:val="004B5AFE"/>
    <w:rsid w:val="004C0C51"/>
    <w:rsid w:val="004C1787"/>
    <w:rsid w:val="004C184A"/>
    <w:rsid w:val="004C7793"/>
    <w:rsid w:val="004D2890"/>
    <w:rsid w:val="004D47F9"/>
    <w:rsid w:val="004D70DF"/>
    <w:rsid w:val="004E2CDA"/>
    <w:rsid w:val="005027F6"/>
    <w:rsid w:val="00512050"/>
    <w:rsid w:val="00514A5D"/>
    <w:rsid w:val="00524031"/>
    <w:rsid w:val="00530510"/>
    <w:rsid w:val="00531EA0"/>
    <w:rsid w:val="00535C52"/>
    <w:rsid w:val="00547286"/>
    <w:rsid w:val="00550951"/>
    <w:rsid w:val="00552254"/>
    <w:rsid w:val="005554B4"/>
    <w:rsid w:val="00561CAF"/>
    <w:rsid w:val="00562AA8"/>
    <w:rsid w:val="005729E5"/>
    <w:rsid w:val="005774AB"/>
    <w:rsid w:val="00580E1B"/>
    <w:rsid w:val="005821E1"/>
    <w:rsid w:val="005864EF"/>
    <w:rsid w:val="00593B17"/>
    <w:rsid w:val="00595407"/>
    <w:rsid w:val="005977DD"/>
    <w:rsid w:val="005A4302"/>
    <w:rsid w:val="005D4EEE"/>
    <w:rsid w:val="005D610E"/>
    <w:rsid w:val="005D68B5"/>
    <w:rsid w:val="005E4F85"/>
    <w:rsid w:val="005E790D"/>
    <w:rsid w:val="005F0DE6"/>
    <w:rsid w:val="005F4798"/>
    <w:rsid w:val="00603D4A"/>
    <w:rsid w:val="006076B5"/>
    <w:rsid w:val="00611E17"/>
    <w:rsid w:val="00614560"/>
    <w:rsid w:val="006169AA"/>
    <w:rsid w:val="00620BA5"/>
    <w:rsid w:val="006374FF"/>
    <w:rsid w:val="00637F15"/>
    <w:rsid w:val="00652D0A"/>
    <w:rsid w:val="006610FB"/>
    <w:rsid w:val="0067569F"/>
    <w:rsid w:val="00684962"/>
    <w:rsid w:val="00684F88"/>
    <w:rsid w:val="00693A6E"/>
    <w:rsid w:val="00695F05"/>
    <w:rsid w:val="006A286A"/>
    <w:rsid w:val="006A5136"/>
    <w:rsid w:val="006A5B48"/>
    <w:rsid w:val="006A6549"/>
    <w:rsid w:val="006A725F"/>
    <w:rsid w:val="006B27FD"/>
    <w:rsid w:val="006B2ABB"/>
    <w:rsid w:val="006C5AFB"/>
    <w:rsid w:val="006D66E8"/>
    <w:rsid w:val="006E2CB9"/>
    <w:rsid w:val="006F09FE"/>
    <w:rsid w:val="006F5AB1"/>
    <w:rsid w:val="006F6DE2"/>
    <w:rsid w:val="006F7D07"/>
    <w:rsid w:val="00713986"/>
    <w:rsid w:val="00721ACC"/>
    <w:rsid w:val="00731011"/>
    <w:rsid w:val="00735906"/>
    <w:rsid w:val="00735B1C"/>
    <w:rsid w:val="00742754"/>
    <w:rsid w:val="00744175"/>
    <w:rsid w:val="00747C14"/>
    <w:rsid w:val="0075680B"/>
    <w:rsid w:val="00762E5A"/>
    <w:rsid w:val="00762F53"/>
    <w:rsid w:val="007678D5"/>
    <w:rsid w:val="00777A68"/>
    <w:rsid w:val="007857F8"/>
    <w:rsid w:val="00787F75"/>
    <w:rsid w:val="0079794B"/>
    <w:rsid w:val="007A0546"/>
    <w:rsid w:val="007A0763"/>
    <w:rsid w:val="007B152C"/>
    <w:rsid w:val="007B219E"/>
    <w:rsid w:val="007B22F3"/>
    <w:rsid w:val="007B5B74"/>
    <w:rsid w:val="007C0200"/>
    <w:rsid w:val="007D0B13"/>
    <w:rsid w:val="007D126C"/>
    <w:rsid w:val="007D7404"/>
    <w:rsid w:val="007E6CE3"/>
    <w:rsid w:val="007F0429"/>
    <w:rsid w:val="007F5D3A"/>
    <w:rsid w:val="007F6188"/>
    <w:rsid w:val="00805279"/>
    <w:rsid w:val="00815B35"/>
    <w:rsid w:val="00820421"/>
    <w:rsid w:val="008302AD"/>
    <w:rsid w:val="00832A44"/>
    <w:rsid w:val="00834EB1"/>
    <w:rsid w:val="00862524"/>
    <w:rsid w:val="00866EC3"/>
    <w:rsid w:val="00871266"/>
    <w:rsid w:val="00871461"/>
    <w:rsid w:val="00871D7F"/>
    <w:rsid w:val="00873325"/>
    <w:rsid w:val="008818F5"/>
    <w:rsid w:val="00892E93"/>
    <w:rsid w:val="008940AA"/>
    <w:rsid w:val="00897F28"/>
    <w:rsid w:val="008B6429"/>
    <w:rsid w:val="008C11D0"/>
    <w:rsid w:val="008C21FC"/>
    <w:rsid w:val="008D6275"/>
    <w:rsid w:val="008F7354"/>
    <w:rsid w:val="00910D8D"/>
    <w:rsid w:val="009133CB"/>
    <w:rsid w:val="0091729E"/>
    <w:rsid w:val="00917481"/>
    <w:rsid w:val="009214AF"/>
    <w:rsid w:val="0094024B"/>
    <w:rsid w:val="00941275"/>
    <w:rsid w:val="009437DE"/>
    <w:rsid w:val="00945C2A"/>
    <w:rsid w:val="0097136E"/>
    <w:rsid w:val="00984F53"/>
    <w:rsid w:val="009858F6"/>
    <w:rsid w:val="009A1E8E"/>
    <w:rsid w:val="009A3165"/>
    <w:rsid w:val="009A390A"/>
    <w:rsid w:val="009A5E98"/>
    <w:rsid w:val="009C1042"/>
    <w:rsid w:val="009C2CD6"/>
    <w:rsid w:val="009C7C76"/>
    <w:rsid w:val="009D4519"/>
    <w:rsid w:val="009D4F01"/>
    <w:rsid w:val="009D577D"/>
    <w:rsid w:val="009E501C"/>
    <w:rsid w:val="009F4AC5"/>
    <w:rsid w:val="009F6102"/>
    <w:rsid w:val="00A114AB"/>
    <w:rsid w:val="00A11BF7"/>
    <w:rsid w:val="00A33D14"/>
    <w:rsid w:val="00A35705"/>
    <w:rsid w:val="00A4395C"/>
    <w:rsid w:val="00A4733D"/>
    <w:rsid w:val="00A744A6"/>
    <w:rsid w:val="00A772D9"/>
    <w:rsid w:val="00A775E9"/>
    <w:rsid w:val="00A863F5"/>
    <w:rsid w:val="00AA00E4"/>
    <w:rsid w:val="00AA03E0"/>
    <w:rsid w:val="00AA094C"/>
    <w:rsid w:val="00AA1899"/>
    <w:rsid w:val="00AA4052"/>
    <w:rsid w:val="00AB0A33"/>
    <w:rsid w:val="00AC0134"/>
    <w:rsid w:val="00AC228C"/>
    <w:rsid w:val="00AD08FC"/>
    <w:rsid w:val="00AE1C9E"/>
    <w:rsid w:val="00AE39C0"/>
    <w:rsid w:val="00AE4A53"/>
    <w:rsid w:val="00AE5B66"/>
    <w:rsid w:val="00AE6B54"/>
    <w:rsid w:val="00AE782F"/>
    <w:rsid w:val="00AF173A"/>
    <w:rsid w:val="00AF484A"/>
    <w:rsid w:val="00B03194"/>
    <w:rsid w:val="00B123CA"/>
    <w:rsid w:val="00B2255C"/>
    <w:rsid w:val="00B30C5E"/>
    <w:rsid w:val="00B31D5B"/>
    <w:rsid w:val="00B418F4"/>
    <w:rsid w:val="00B459BB"/>
    <w:rsid w:val="00B54F8A"/>
    <w:rsid w:val="00B65B9D"/>
    <w:rsid w:val="00B6628E"/>
    <w:rsid w:val="00B706EA"/>
    <w:rsid w:val="00B85D89"/>
    <w:rsid w:val="00BA09C9"/>
    <w:rsid w:val="00BA26EB"/>
    <w:rsid w:val="00BA79DA"/>
    <w:rsid w:val="00BB7439"/>
    <w:rsid w:val="00BC443A"/>
    <w:rsid w:val="00BC6C05"/>
    <w:rsid w:val="00BD1EED"/>
    <w:rsid w:val="00BD2BE3"/>
    <w:rsid w:val="00BD47D6"/>
    <w:rsid w:val="00BD656B"/>
    <w:rsid w:val="00BE21D9"/>
    <w:rsid w:val="00BE2B64"/>
    <w:rsid w:val="00C0146A"/>
    <w:rsid w:val="00C02C79"/>
    <w:rsid w:val="00C02F2F"/>
    <w:rsid w:val="00C04E45"/>
    <w:rsid w:val="00C14E17"/>
    <w:rsid w:val="00C16263"/>
    <w:rsid w:val="00C214C2"/>
    <w:rsid w:val="00C22B42"/>
    <w:rsid w:val="00C22BFE"/>
    <w:rsid w:val="00C27B9E"/>
    <w:rsid w:val="00C3606D"/>
    <w:rsid w:val="00C41AC3"/>
    <w:rsid w:val="00C41E46"/>
    <w:rsid w:val="00C46C14"/>
    <w:rsid w:val="00C55A7D"/>
    <w:rsid w:val="00C609DD"/>
    <w:rsid w:val="00C65FE2"/>
    <w:rsid w:val="00C7643D"/>
    <w:rsid w:val="00C8052B"/>
    <w:rsid w:val="00C826DA"/>
    <w:rsid w:val="00C84DBD"/>
    <w:rsid w:val="00C92212"/>
    <w:rsid w:val="00C92606"/>
    <w:rsid w:val="00C94A4A"/>
    <w:rsid w:val="00CA5B52"/>
    <w:rsid w:val="00CB0E99"/>
    <w:rsid w:val="00CB6416"/>
    <w:rsid w:val="00CC1431"/>
    <w:rsid w:val="00CC1D58"/>
    <w:rsid w:val="00CC7EAA"/>
    <w:rsid w:val="00CD199A"/>
    <w:rsid w:val="00CD6055"/>
    <w:rsid w:val="00CE0CE4"/>
    <w:rsid w:val="00CE0FE2"/>
    <w:rsid w:val="00CE1934"/>
    <w:rsid w:val="00CF1884"/>
    <w:rsid w:val="00D0763C"/>
    <w:rsid w:val="00D137BF"/>
    <w:rsid w:val="00D21646"/>
    <w:rsid w:val="00D23146"/>
    <w:rsid w:val="00D24A10"/>
    <w:rsid w:val="00D36469"/>
    <w:rsid w:val="00D36503"/>
    <w:rsid w:val="00D41993"/>
    <w:rsid w:val="00D45432"/>
    <w:rsid w:val="00D610A8"/>
    <w:rsid w:val="00D6734F"/>
    <w:rsid w:val="00D677A6"/>
    <w:rsid w:val="00D73797"/>
    <w:rsid w:val="00D7448E"/>
    <w:rsid w:val="00D804BF"/>
    <w:rsid w:val="00D80997"/>
    <w:rsid w:val="00D876C8"/>
    <w:rsid w:val="00D9036D"/>
    <w:rsid w:val="00D930AE"/>
    <w:rsid w:val="00D94555"/>
    <w:rsid w:val="00D96BCE"/>
    <w:rsid w:val="00D97B8B"/>
    <w:rsid w:val="00DA05A3"/>
    <w:rsid w:val="00DA1D78"/>
    <w:rsid w:val="00DA4CC7"/>
    <w:rsid w:val="00DB4CFA"/>
    <w:rsid w:val="00DC0193"/>
    <w:rsid w:val="00DC3C9F"/>
    <w:rsid w:val="00DC7BCB"/>
    <w:rsid w:val="00DD060D"/>
    <w:rsid w:val="00DD2C2E"/>
    <w:rsid w:val="00DD4751"/>
    <w:rsid w:val="00DE3775"/>
    <w:rsid w:val="00DF74C4"/>
    <w:rsid w:val="00E00220"/>
    <w:rsid w:val="00E04B44"/>
    <w:rsid w:val="00E04E05"/>
    <w:rsid w:val="00E273D4"/>
    <w:rsid w:val="00E332A5"/>
    <w:rsid w:val="00E33724"/>
    <w:rsid w:val="00E43D52"/>
    <w:rsid w:val="00E4769F"/>
    <w:rsid w:val="00E5477A"/>
    <w:rsid w:val="00E54FBB"/>
    <w:rsid w:val="00E5558E"/>
    <w:rsid w:val="00E57EBD"/>
    <w:rsid w:val="00E722BD"/>
    <w:rsid w:val="00E753B2"/>
    <w:rsid w:val="00E82CFA"/>
    <w:rsid w:val="00E97E49"/>
    <w:rsid w:val="00EA1085"/>
    <w:rsid w:val="00EA5D62"/>
    <w:rsid w:val="00EA7173"/>
    <w:rsid w:val="00ED34D2"/>
    <w:rsid w:val="00ED7917"/>
    <w:rsid w:val="00EE467F"/>
    <w:rsid w:val="00EE67CC"/>
    <w:rsid w:val="00EF3391"/>
    <w:rsid w:val="00EF7480"/>
    <w:rsid w:val="00F036D4"/>
    <w:rsid w:val="00F05A05"/>
    <w:rsid w:val="00F1234E"/>
    <w:rsid w:val="00F13F0C"/>
    <w:rsid w:val="00F164FC"/>
    <w:rsid w:val="00F17459"/>
    <w:rsid w:val="00F17583"/>
    <w:rsid w:val="00F22184"/>
    <w:rsid w:val="00F300D5"/>
    <w:rsid w:val="00F33858"/>
    <w:rsid w:val="00F52337"/>
    <w:rsid w:val="00F5454F"/>
    <w:rsid w:val="00F62A54"/>
    <w:rsid w:val="00F62F5A"/>
    <w:rsid w:val="00F65AF9"/>
    <w:rsid w:val="00F71698"/>
    <w:rsid w:val="00F72D5C"/>
    <w:rsid w:val="00F7375F"/>
    <w:rsid w:val="00F82CCE"/>
    <w:rsid w:val="00F92ADD"/>
    <w:rsid w:val="00FA43DE"/>
    <w:rsid w:val="00FB0FEE"/>
    <w:rsid w:val="00FB40E4"/>
    <w:rsid w:val="00FB4F2D"/>
    <w:rsid w:val="00FC781C"/>
    <w:rsid w:val="00FD156C"/>
    <w:rsid w:val="00FD3FC1"/>
    <w:rsid w:val="00FE0718"/>
    <w:rsid w:val="00FF0843"/>
    <w:rsid w:val="00FF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1E8D0C4"/>
  <w15:docId w15:val="{FD1EE8A4-FCC9-4B6C-A900-4642D0F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rsid w:val="006B27F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9A1E8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basedOn w:val="Absatz-Standardschriftart"/>
    <w:link w:val="berschrift5"/>
    <w:uiPriority w:val="9"/>
    <w:semiHidden/>
    <w:rsid w:val="006B27FD"/>
    <w:rPr>
      <w:rFonts w:asciiTheme="majorHAnsi" w:eastAsiaTheme="majorEastAsia" w:hAnsiTheme="majorHAnsi" w:cstheme="majorBidi"/>
      <w:color w:val="243F60" w:themeColor="accent1" w:themeShade="7F"/>
      <w:szCs w:val="22"/>
      <w:lang w:eastAsia="en-US"/>
    </w:rPr>
  </w:style>
  <w:style w:type="table" w:styleId="Tabellenraster">
    <w:name w:val="Table Grid"/>
    <w:basedOn w:val="NormaleTabelle"/>
    <w:rsid w:val="00E54F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2451">
      <w:bodyDiv w:val="1"/>
      <w:marLeft w:val="0"/>
      <w:marRight w:val="0"/>
      <w:marTop w:val="0"/>
      <w:marBottom w:val="0"/>
      <w:divBdr>
        <w:top w:val="none" w:sz="0" w:space="0" w:color="auto"/>
        <w:left w:val="none" w:sz="0" w:space="0" w:color="auto"/>
        <w:bottom w:val="none" w:sz="0" w:space="0" w:color="auto"/>
        <w:right w:val="none" w:sz="0" w:space="0" w:color="auto"/>
      </w:divBdr>
    </w:div>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A391-C93F-4B23-833F-D7E7F6D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1181</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Diana Jockmann</cp:lastModifiedBy>
  <cp:revision>9</cp:revision>
  <cp:lastPrinted>2019-04-03T08:35:00Z</cp:lastPrinted>
  <dcterms:created xsi:type="dcterms:W3CDTF">2019-04-11T09:06:00Z</dcterms:created>
  <dcterms:modified xsi:type="dcterms:W3CDTF">2019-04-29T09:26:00Z</dcterms:modified>
</cp:coreProperties>
</file>